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Cambria" w:hAnsi="Cambria"/>
          <w:sz w:val="24"/>
        </w:rPr>
      </w:pPr>
    </w:p>
    <w:p>
      <w:pPr>
        <w:spacing w:line="360" w:lineRule="auto"/>
        <w:jc w:val="center"/>
        <w:rPr>
          <w:rFonts w:ascii="黑体" w:hAnsi="黑体" w:eastAsia="黑体"/>
          <w:b/>
          <w:bCs/>
          <w:sz w:val="28"/>
          <w:szCs w:val="28"/>
        </w:rPr>
      </w:pPr>
      <w:r>
        <w:rPr>
          <w:rFonts w:hint="eastAsia" w:ascii="黑体" w:hAnsi="黑体" w:eastAsia="黑体"/>
          <w:b/>
          <w:bCs/>
          <w:sz w:val="28"/>
          <w:szCs w:val="28"/>
        </w:rPr>
        <w:t>涉及人的生物医学研究伦理审查指南</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通过伦理审查履行受试者保护的职责。伦理委员会依据研究和伦理相关的法律、法规、政策和指南，依据同意研究的标准，审查和同意一项研究。伦理委员会以跟踪审查的方式对其同意的研究进行监督。伦理委员会委员利用审查工作表，以保证在审查中考量了所有相关的伦理准则和要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伦理审查同意一项研究的标准：</w:t>
      </w:r>
    </w:p>
    <w:p>
      <w:pPr>
        <w:pStyle w:val="6"/>
        <w:numPr>
          <w:ilvl w:val="0"/>
          <w:numId w:val="1"/>
        </w:numPr>
        <w:spacing w:line="360" w:lineRule="auto"/>
        <w:ind w:firstLineChars="0"/>
        <w:rPr>
          <w:rFonts w:ascii="宋体" w:hAnsi="宋体" w:eastAsia="宋体"/>
          <w:sz w:val="24"/>
          <w:szCs w:val="24"/>
        </w:rPr>
      </w:pPr>
      <w:r>
        <w:rPr>
          <w:rFonts w:hint="eastAsia" w:ascii="宋体" w:hAnsi="宋体" w:eastAsia="宋体"/>
          <w:sz w:val="24"/>
          <w:szCs w:val="24"/>
        </w:rPr>
        <w:t>研究具有科学价值和社会价值。</w:t>
      </w:r>
    </w:p>
    <w:p>
      <w:pPr>
        <w:pStyle w:val="6"/>
        <w:numPr>
          <w:ilvl w:val="0"/>
          <w:numId w:val="1"/>
        </w:numPr>
        <w:spacing w:line="360" w:lineRule="auto"/>
        <w:ind w:firstLineChars="0"/>
        <w:rPr>
          <w:rFonts w:ascii="宋体" w:hAnsi="宋体" w:eastAsia="宋体"/>
          <w:sz w:val="24"/>
          <w:szCs w:val="24"/>
        </w:rPr>
      </w:pPr>
      <w:r>
        <w:rPr>
          <w:rFonts w:hint="eastAsia" w:ascii="宋体" w:hAnsi="宋体" w:eastAsia="宋体"/>
          <w:sz w:val="24"/>
          <w:szCs w:val="24"/>
        </w:rPr>
        <w:t>受试者的风险最小化。</w:t>
      </w:r>
    </w:p>
    <w:p>
      <w:pPr>
        <w:pStyle w:val="6"/>
        <w:numPr>
          <w:ilvl w:val="0"/>
          <w:numId w:val="2"/>
        </w:numPr>
        <w:spacing w:line="360" w:lineRule="auto"/>
        <w:ind w:firstLineChars="0"/>
        <w:rPr>
          <w:rFonts w:ascii="宋体" w:hAnsi="宋体" w:eastAsia="宋体"/>
          <w:sz w:val="24"/>
          <w:szCs w:val="24"/>
        </w:rPr>
      </w:pPr>
      <w:r>
        <w:rPr>
          <w:rFonts w:hint="eastAsia" w:ascii="宋体" w:hAnsi="宋体" w:eastAsia="宋体"/>
          <w:sz w:val="24"/>
          <w:szCs w:val="24"/>
        </w:rPr>
        <w:t>通过采用与合理的研究设计相一致，且避免受试者暴露于不必要风险的研究程序，使受试者的风险减少到最低限度。</w:t>
      </w:r>
    </w:p>
    <w:p>
      <w:pPr>
        <w:pStyle w:val="6"/>
        <w:numPr>
          <w:ilvl w:val="0"/>
          <w:numId w:val="2"/>
        </w:numPr>
        <w:spacing w:line="360" w:lineRule="auto"/>
        <w:ind w:firstLineChars="0"/>
        <w:rPr>
          <w:rFonts w:ascii="宋体" w:hAnsi="宋体" w:eastAsia="宋体"/>
          <w:sz w:val="24"/>
          <w:szCs w:val="24"/>
        </w:rPr>
      </w:pPr>
      <w:r>
        <w:rPr>
          <w:rFonts w:hint="eastAsia" w:ascii="宋体" w:hAnsi="宋体" w:eastAsia="宋体"/>
          <w:sz w:val="24"/>
          <w:szCs w:val="24"/>
        </w:rPr>
        <w:t>在任何适当的情况下，通过采用受试者诊断或治疗需要执行的程序，使受试者的风险减少到最低限度。</w:t>
      </w:r>
    </w:p>
    <w:p>
      <w:pPr>
        <w:pStyle w:val="6"/>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受试者的风险与其参加研究的预期获益（如有）以及可以合理预期产生的知识的重要性相比是合理的。</w:t>
      </w:r>
    </w:p>
    <w:p>
      <w:pPr>
        <w:pStyle w:val="6"/>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在适当的情况下，研究有合适的数据安全监查计划。</w:t>
      </w:r>
    </w:p>
    <w:p>
      <w:pPr>
        <w:pStyle w:val="6"/>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基于对研究目的，进行研究的环境，涉及弱势人群研究的特殊问题，选择标准和招募程序的考虑，确认受试者的选择是公平的。</w:t>
      </w:r>
    </w:p>
    <w:p>
      <w:pPr>
        <w:pStyle w:val="6"/>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将征求每位潜在受试者或其监护人的知情同意，确认获取知情同意过程的计划安排和知情同意文件提供的信息符合规范要求，并有适当的文件证明知情同意。</w:t>
      </w:r>
    </w:p>
    <w:p>
      <w:pPr>
        <w:pStyle w:val="6"/>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在适当的情况下，研究有合适的规定以保护受试者的隐私。</w:t>
      </w:r>
    </w:p>
    <w:p>
      <w:pPr>
        <w:pStyle w:val="6"/>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在适当的情况下，研究有合适的规定以维护数据的机密性。</w:t>
      </w:r>
    </w:p>
    <w:p>
      <w:pPr>
        <w:pStyle w:val="6"/>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当部分或所有受试者可能容易受到胁迫或不当影响时，研究包括附加的保护措施，以保护这些受试者的权益和安全。</w:t>
      </w:r>
    </w:p>
    <w:p>
      <w:pPr>
        <w:spacing w:line="360" w:lineRule="auto"/>
        <w:rPr>
          <w:rFonts w:ascii="宋体" w:hAnsi="宋体" w:eastAsia="宋体"/>
          <w:sz w:val="24"/>
          <w:szCs w:val="24"/>
        </w:rPr>
      </w:pP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一、研究的价值</w:t>
      </w:r>
      <w:bookmarkStart w:id="0" w:name="_GoBack"/>
      <w:bookmarkEnd w:id="0"/>
    </w:p>
    <w:p>
      <w:pPr>
        <w:spacing w:line="360" w:lineRule="auto"/>
        <w:ind w:firstLine="0" w:firstLineChars="0"/>
        <w:rPr>
          <w:rFonts w:hint="eastAsia" w:ascii="宋体" w:hAnsi="宋体" w:eastAsia="宋体"/>
          <w:sz w:val="24"/>
          <w:szCs w:val="24"/>
          <w:shd w:val="clear"/>
        </w:rPr>
      </w:pPr>
      <w:r>
        <w:rPr>
          <w:rFonts w:hint="eastAsia" w:ascii="宋体" w:hAnsi="宋体" w:eastAsia="宋体"/>
          <w:sz w:val="24"/>
          <w:szCs w:val="24"/>
          <w:shd w:val="clear"/>
        </w:rPr>
        <w:t xml:space="preserve">标准：伦理委员会应当审查并确认研究具有科学价值和社会价值。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这是伦理审查同意研究的标准之一。伦理委员会应当审查每一项研究是否满足该标准。伦理委员会医药专业背景的委员应当知晓如何应用该标准。</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1.研究的社会价值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社会价值是指研究可能产生的信息对一个有意义的健康问题的理解或干预直接相关，或者它对促进个人或公共卫生有预期的贡献。这些信息重要性的程度取决于健康需求问题的重要性，方法的新颖性和预期的优点，解决问题的替代方法的优点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伦理委员会应当确认一项研究有足够的社会价值，以证明其相关的风险，成本和负担的合理性。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播种试验：该试验被设计成似乎是为了回答一个科学问题，但它的目的是影响参加研究的临床医生处方一种新的药物，而不是产生关于这些干预措施优点的知识。播种试验是为了看起来像临床试验而设计的市场试验，它们的目标是在推销产品时给人一种做研究的感觉。该研究违背了研究应当具有社会价值这一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后期的临床研究：一个设计良好的后期临床试验，如果其终点指标与临床决策无关，医生基于研究发现不可能影响其临床决策，则该研究是缺乏社会价值的。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重复性研究：尽管重复性研究在科学研究中具有重要作用，但缺乏足够新颖性设计的重复性研究，也是缺乏社会价值的。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研究问题已经解决：一项研究设计严谨，但其研究的问题已被先前的研究成功解决，该研究也是缺乏社会价值的。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研究设计不恰当：如果一项研究没有恰当而严谨的科学设计来解决当前的研究问题，该研究是不会具有社会价值的。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受试者没有获益的研究：对受试者没有预期的诊断、治疗或预防的获益的研究，必须确保其具有充分的社会价值，以证明受试者所承担风险的合理性。</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2.研究的科学价值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科学价值是指一项研究能够获得可靠、有效的信息，实现研究目的。确保研究的科学高标准是至关重要的，这将保证实现研究的社会价值。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伦理委员会的科学审查应当确认：</w:t>
      </w:r>
    </w:p>
    <w:p>
      <w:pPr>
        <w:pStyle w:val="6"/>
        <w:numPr>
          <w:ilvl w:val="0"/>
          <w:numId w:val="4"/>
        </w:numPr>
        <w:spacing w:line="360" w:lineRule="auto"/>
        <w:ind w:firstLineChars="0"/>
        <w:rPr>
          <w:rFonts w:ascii="宋体" w:hAnsi="宋体" w:eastAsia="宋体"/>
          <w:sz w:val="24"/>
          <w:szCs w:val="24"/>
        </w:rPr>
      </w:pPr>
      <w:r>
        <w:rPr>
          <w:rFonts w:hint="eastAsia" w:ascii="宋体" w:hAnsi="宋体" w:eastAsia="宋体"/>
          <w:sz w:val="24"/>
          <w:szCs w:val="24"/>
        </w:rPr>
        <w:t>研究有充分的科学依据，临床前和临床的信息足以支持所提议的研究。</w:t>
      </w:r>
    </w:p>
    <w:p>
      <w:pPr>
        <w:pStyle w:val="6"/>
        <w:numPr>
          <w:ilvl w:val="0"/>
          <w:numId w:val="4"/>
        </w:numPr>
        <w:spacing w:line="360" w:lineRule="auto"/>
        <w:ind w:firstLineChars="0"/>
        <w:rPr>
          <w:rFonts w:ascii="宋体" w:hAnsi="宋体" w:eastAsia="宋体"/>
          <w:sz w:val="24"/>
          <w:szCs w:val="24"/>
        </w:rPr>
      </w:pPr>
      <w:r>
        <w:rPr>
          <w:rFonts w:hint="eastAsia" w:ascii="宋体" w:hAnsi="宋体" w:eastAsia="宋体"/>
          <w:sz w:val="24"/>
          <w:szCs w:val="24"/>
        </w:rPr>
        <w:t>研究设计科学合理，临床研究方案清晰、详细、可操作。</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审查考量：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充分的科学依据：涉及人的医学研究必须符合公认的科学原理，必须建立在对科学文献和其他相关信息的全面了解的基础上，必须以充分的实验室研究和恰当的动物实验为基础。</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研究设计科学合理：所用研究方法应当合乎研究目的，并适用于研究的阶段与类型，能够获得可靠、有效的信息，回答研究问题。研究设计通常包括：①明确临床研究的主要终点和次要终点。②对照组选择的理由和研究设计的描述（如双盲、安慰剂对照、平行组设计），并对研究设计、流程和不同阶段以流程图形式表示。③减少或者控制偏倚所采取的措施，包括随机化和盲法的方法和过程。采用单盲或者开放性研究需要说明理由和控制偏倚的措施。④治疗方法、试验用药品的剂量、给药方案；试验用药品的剂型、包装、标签。⑤受试者参与临床研究的预期时长和具体安排，包括随访等。⑥受试者、部分临床研究及全部临床研究的“暂停研究标准”、“终止研究标准”。⑦试验用药品管理流程。⑧盲底保存和揭盲的程序。⑨明确何种研究数据可作为源数据直接记录在病例报告表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临床研究方案清晰、详细、可操作：研究方案通常包括基本信息、研究背景资料、研究目的、研究设计、实施方式（例如：临床和实验室检查的项目，受试者的选择和退出，受试者的治疗，访视和随访计划，有效性和安全性评价，统计，质量控制与质量保证，伦理学问题的考虑，研究数据的采集与管理，源文件的直接查阅，数据处理和记录的保存，财务和保险）等内容。详见《药物临床试验质量管理规范》（</w:t>
      </w:r>
      <w:r>
        <w:rPr>
          <w:rFonts w:ascii="宋体" w:hAnsi="宋体" w:eastAsia="宋体"/>
          <w:sz w:val="24"/>
          <w:szCs w:val="24"/>
        </w:rPr>
        <w:t>2020年）第六章，试验方案。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科学审查的方法：伦理委员会应当进行适当的科学审查，确认一个称职的专家团队已经确定该研究是科学合理的；或者与有能力的专家商议，以确保研究设计和方法是适当的。伦理委员会委员应当知晓，如果他们不具备审查研究的科学性或可行性的专业知识，他们必须征询相关专家意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基于中医临床个案经验的研究：研究所依据的临床个案信息不足以支持确证性研究设计，例如多中心大样本的随机盲法对照的研究设计，应当首先考虑采用探索性研究设计的方法。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不科学的研究：不科学的涉及人的研究是不道德的，因为它可能会使受试者面临无意义的风险或不便。即使没有受损害的风险，但在无价值的活动中浪费了受试者和研究人员的时间，耗费了宝贵的资源。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课题标书：申请研究课题的标书描述了研究设计的大纲，但没有清晰、详细的描述研究的设计及其实施的要求，不能代替临床研究方案作为伦理审查的送审文件。</w:t>
      </w:r>
    </w:p>
    <w:p>
      <w:pPr>
        <w:spacing w:line="360" w:lineRule="auto"/>
        <w:ind w:firstLine="480" w:firstLineChars="200"/>
        <w:rPr>
          <w:rFonts w:ascii="宋体" w:hAnsi="宋体" w:eastAsia="宋体"/>
          <w:sz w:val="24"/>
          <w:szCs w:val="24"/>
        </w:rPr>
      </w:pP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二、受试者的风险</w:t>
      </w:r>
    </w:p>
    <w:p>
      <w:pPr>
        <w:spacing w:line="360" w:lineRule="auto"/>
        <w:ind w:firstLine="0" w:firstLineChars="0"/>
        <w:rPr>
          <w:rFonts w:hint="eastAsia" w:ascii="宋体" w:hAnsi="宋体" w:eastAsia="宋体"/>
          <w:sz w:val="24"/>
          <w:szCs w:val="24"/>
          <w:shd w:val="clear"/>
        </w:rPr>
      </w:pPr>
      <w:r>
        <w:rPr>
          <w:rFonts w:hint="eastAsia" w:ascii="宋体" w:hAnsi="宋体" w:eastAsia="宋体"/>
          <w:sz w:val="24"/>
          <w:szCs w:val="24"/>
          <w:shd w:val="clear"/>
        </w:rPr>
        <w:t>标准：伦理委员会应当审查并确认受试者的风险最小化，确认受试者的风险与其参加研究的预期获益（如有）以及可以合理预期产生的知识的重要性相比是合理的。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这是伦理审查同意研究的标准之一。伦理委员会应当审查每一项研究是否满足该标准。伦理委员会医药专业背景的委员应当知晓如何应用该标准。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伦理审查应当识别和分析受试者的风险，应当确认受试者的风险最小化，确认受试者的风险与其参加研究的预期获益（如有）以及可以合理预期产生的知识的重要性相比是合理的。</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1.识别和分析受试者的风险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在本指南中，术语“研究干预”是指研究对象，例如新的或已确立的疗法，诊断测试，预防措施，以及其他用于改进健康相关行为的各种技术。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术语“研究程序”是指提供有关研究对象信息的研究活动，例如新疗法的安全性和有效性。程序包括调查和访谈，临床检查，监测（如心电图），抽血、活检，影像，以及研究实施的方法，如随机化。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受试者的风险是指接受方案规定的研究干预和程序所可能面临的身体、心理、社会、经济或法律的风险。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受试者的获益是指接受方案规定的研究干预和程序可以合理预期获得的诊断、治疗或预防的益处。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最低风险是指研究干预和程序预期伤害的可能性（概率）和程度不大于健康正常个人的日常生活、常规体格检查或心理测试通常遇到的伤害的可能性和程度。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受试者不参加研究也会面临的医疗风险和获益不在受试者的风险和获益的评估范围内。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审查考量：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风险的评估通常包括两个方面：第一，受试者可能经历的身体、心理、社会或其他伤害的可能性（风险的概率）；第二，伤害的程度或严重性（风险的程度）。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研究中潜在的个人获益和风险应当通过两个步骤进行评估：第一步，评估研究中每一项干预措施或程序的潜在个人获益和风险。第二步，评估整个研究的总体风险和潜在的个人获益，并且确认是合理的。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评估研究潜在的个人获益和风险应当基于已获得的有效证据。研究方案或其他送审文件应当提供一份与评估潜在的研究风险和个人获益相关的、基于现有证据的全面、均衡的概述，包括：临床前的研究结果，涉及人的干预措施的早期或探索性研究的结果，说明现有数据的局限性和不同意见。研究者应当对现有证据的可信度提供解释，以支持他们对合理的风险与获益比的判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伦理委员会应当评估研究对未来患者和研究受试者的潜在个人获益最大化。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第一步，评估研究中每一项干预措施或程序的潜在个人获益和风险：例如，某项研究程序不构成重大风险，然而，该程序并不能产生重要的信息。仅仅对总体风险与获益进行评估可能会错过这个问题。相比之下，详细审查研究中的每一项研究干预和程序，可以发现不必要的程序，从而减少受试者的风险。因此，按两个步骤依次评估研究的个人获益和风险非常重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第二步，评估整个研究的总体风险和潜在的个人获益，并且确认是合理的：例如，一项研究可能涉及许多的干预措施或操作程序，单个研究活动产生的风险有限，但所有研究活动的风险累积起来，总体风险可能达到一个显著的水平，相对于研究的社会和科学价值而言是不可接受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日常生活风险的参照：可能造成自身不可接受的风险的活动不能作为日常生活风险的参照。例如，一些涉及较高伤害风险的体育活动。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社会获益的最大化：例如，通过为未来的研究提供数据或标本，可以使研究的社会和科学价值最大化。研究获益的最大化需要仔细权衡利弊。例如，共享数据或用于未来研究的标本可能对受试者构成风险，特别是在没有足够的隐私保护措施的情况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受试者个人获益的最大化：例如，目标人群选择最有可能从研究干预中获益的人群，可以使受试者潜在的临床获益最大化。</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2.受试者的风险最小化</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受试者的风险最小化是指使受试者的风险减少到最低限度，而不是指使受试者的风险不大于最低风险。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如果受试者的风险不大于最低风险，那么已经满足了风险最小化的要求，伦理审查可以不需要考虑风险最小化的问题。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伦理委员会在确认各项干预措施和操作程序的风险最小化的同时，其对于受试者个人的潜在获益，以及研究的社会价值和科学价值也应当得到相应的保证。</w:t>
      </w:r>
    </w:p>
    <w:p>
      <w:pPr>
        <w:spacing w:line="360" w:lineRule="auto"/>
        <w:ind w:firstLine="482" w:firstLineChars="200"/>
        <w:rPr>
          <w:rFonts w:ascii="宋体" w:hAnsi="宋体" w:eastAsia="宋体"/>
          <w:sz w:val="24"/>
          <w:szCs w:val="24"/>
        </w:rPr>
      </w:pPr>
      <w:r>
        <w:rPr>
          <w:rFonts w:ascii="宋体" w:hAnsi="宋体" w:eastAsia="宋体"/>
          <w:b/>
          <w:bCs/>
          <w:sz w:val="24"/>
          <w:szCs w:val="24"/>
        </w:rPr>
        <w:t xml:space="preserve">2.1 </w:t>
      </w:r>
      <w:r>
        <w:rPr>
          <w:rFonts w:ascii="宋体" w:hAnsi="宋体" w:eastAsia="宋体"/>
          <w:sz w:val="24"/>
          <w:szCs w:val="24"/>
        </w:rPr>
        <w:t>风险最小化的标准之一：研究程序</w:t>
      </w:r>
    </w:p>
    <w:p>
      <w:pPr>
        <w:spacing w:line="360" w:lineRule="auto"/>
        <w:ind w:firstLine="0" w:firstLineChars="0"/>
        <w:rPr>
          <w:rFonts w:hint="eastAsia" w:ascii="宋体" w:hAnsi="宋体" w:eastAsia="宋体"/>
          <w:sz w:val="24"/>
          <w:szCs w:val="24"/>
          <w:shd w:val="clear"/>
        </w:rPr>
      </w:pPr>
      <w:r>
        <w:rPr>
          <w:rFonts w:hint="eastAsia" w:ascii="宋体" w:hAnsi="宋体" w:eastAsia="宋体"/>
          <w:sz w:val="24"/>
          <w:szCs w:val="24"/>
          <w:shd w:val="clear"/>
        </w:rPr>
        <w:t>标准：通过采用与合理的研究设计相一致，且避免受试者暴露于不必要风险的研究程序，使受试者的风险减少到最低限度。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审查考量：研究程序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应当知晓，采用与合理的研究设计相一致，且避免受试者暴露于不必要风险的研究程序，可以降低风险发生的概率和程度。伦理审查应当考虑研究程序的合理性，例如，纳入排除标准，样本量等，避免受试者暴露于不必要风险，考虑是否可以采用其他风险较小的研究程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纳入排除标准：例如，排除对试验干预风险的易感人群。某试验药物从肝脏代谢，肝功能损害的患者可能影响药物的半衰期和血药浓度，早期的研究排除此类人群可以降低药物副作用发生的概率和程度。同时，为保证研究的社会价值和科学价值，应当考虑在研究的某个阶段对肝功能损害患者的试验药物代谢和用药方案进行研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样本量：除了从科学角度确认样本量能确保有足够的把握度回答研究问题以外，还要从伦理的角度考虑用最少的受试者人数获得可靠结论的可能性。</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侵入性检查：例如，脂肪肝临床干预性研究，在合适的情况下，疗效指标选择风险较小的肝牌</w:t>
      </w:r>
      <w:r>
        <w:rPr>
          <w:rFonts w:ascii="宋体" w:hAnsi="宋体" w:eastAsia="宋体"/>
          <w:sz w:val="24"/>
          <w:szCs w:val="24"/>
        </w:rPr>
        <w:t>CT比值，代替肝脏活检。</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与研究目的无关的程序：例如，某量表问卷的调查程序不大于最低风险，然而，该程序与研究目的无关。修改这一不合理的研究设计，可以减少受试者不必要的负担。</w:t>
      </w:r>
    </w:p>
    <w:p>
      <w:pPr>
        <w:spacing w:line="360" w:lineRule="auto"/>
        <w:ind w:firstLine="482" w:firstLineChars="200"/>
        <w:rPr>
          <w:rFonts w:ascii="宋体" w:hAnsi="宋体" w:eastAsia="宋体"/>
          <w:sz w:val="24"/>
          <w:szCs w:val="24"/>
        </w:rPr>
      </w:pPr>
      <w:r>
        <w:rPr>
          <w:rFonts w:ascii="宋体" w:hAnsi="宋体" w:eastAsia="宋体"/>
          <w:b/>
          <w:bCs/>
          <w:sz w:val="24"/>
          <w:szCs w:val="24"/>
        </w:rPr>
        <w:t xml:space="preserve">2.2 </w:t>
      </w:r>
      <w:r>
        <w:rPr>
          <w:rFonts w:ascii="宋体" w:hAnsi="宋体" w:eastAsia="宋体"/>
          <w:sz w:val="24"/>
          <w:szCs w:val="24"/>
        </w:rPr>
        <w:t>风险最小化的标准之一：适用的诊断和治疗程序</w:t>
      </w:r>
    </w:p>
    <w:p>
      <w:pPr>
        <w:spacing w:line="360" w:lineRule="auto"/>
        <w:ind w:firstLine="0" w:firstLineChars="0"/>
        <w:rPr>
          <w:rFonts w:hint="eastAsia" w:ascii="宋体" w:hAnsi="宋体" w:eastAsia="宋体"/>
          <w:sz w:val="24"/>
          <w:szCs w:val="24"/>
          <w:shd w:val="clear"/>
        </w:rPr>
      </w:pPr>
      <w:r>
        <w:rPr>
          <w:rFonts w:hint="eastAsia" w:ascii="宋体" w:hAnsi="宋体" w:eastAsia="宋体"/>
          <w:sz w:val="24"/>
          <w:szCs w:val="24"/>
          <w:shd w:val="clear"/>
        </w:rPr>
        <w:t>标准：在任何适当的情况下，通过采用受试者诊断或治疗需要执行的程序，使受试者的风险减少到最低限度。</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审查考量：适用的诊断和治疗程序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如果研究背景涉及出于诊断和治疗目的需要执行的程序，伦理委员会应当识别出哪些风险的概率或程度可以通过采用这些程序而得以减少。伦理审查应当考虑在任何适当的情况下，采用受试者诊断或治疗需要执行的程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如果研究背景不涉及此类程序，风险最小化的这一策略将不适用。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手术医疗器械的临床试验：测试手术中使用的器械，选择出于医疗目的需要接受手术的患者作为受试者。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疼痛的研究：受试者选择临床伴有疼痛疾病的患者。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侵入性活检：在临床活检中稍微多采集一点标本，而不是仅仅为了研究目的进行第二次活检。</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安慰剂对照的叠加设计：例如，痛风急性发作期的止痛药物的安慰剂对照试验，试验组和对照组都采用休息，多饮水，低嘌呤饮食等基础治疗。叠加设计中的基础治疗的作用机制应当不同于试验药物。</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3.受试者的风险与获益相权衡是合理的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风险与获益比是否合理无法以数学公式或算法来表示，确切的说，它是基于谨慎的分析评估，合理权衡研究风险和潜在获益之后，做出的一种判断。研究的风险是否可以接受，是风险相对于获益进行权衡的结果，而不是以某一个固定程度的风险作为参照。</w:t>
      </w:r>
    </w:p>
    <w:p>
      <w:pPr>
        <w:spacing w:line="360" w:lineRule="auto"/>
        <w:ind w:firstLine="480" w:firstLineChars="200"/>
        <w:rPr>
          <w:rFonts w:ascii="宋体" w:hAnsi="宋体" w:eastAsia="宋体"/>
          <w:sz w:val="24"/>
          <w:szCs w:val="24"/>
        </w:rPr>
      </w:pPr>
      <w:r>
        <w:rPr>
          <w:rFonts w:ascii="宋体" w:hAnsi="宋体" w:eastAsia="宋体"/>
          <w:sz w:val="24"/>
          <w:szCs w:val="24"/>
        </w:rPr>
        <w:t>3.1 对受试者没有潜在个人获益的研究，风险可以接受的条件：</w:t>
      </w:r>
    </w:p>
    <w:p>
      <w:pPr>
        <w:pStyle w:val="6"/>
        <w:numPr>
          <w:ilvl w:val="0"/>
          <w:numId w:val="5"/>
        </w:numPr>
        <w:spacing w:line="360" w:lineRule="auto"/>
        <w:ind w:firstLineChars="0"/>
        <w:rPr>
          <w:rFonts w:ascii="宋体" w:hAnsi="宋体" w:eastAsia="宋体"/>
          <w:sz w:val="24"/>
          <w:szCs w:val="24"/>
        </w:rPr>
      </w:pPr>
      <w:r>
        <w:rPr>
          <w:rFonts w:hint="eastAsia" w:ascii="宋体" w:hAnsi="宋体" w:eastAsia="宋体"/>
          <w:sz w:val="24"/>
          <w:szCs w:val="24"/>
        </w:rPr>
        <w:t>风险必须最小化；</w:t>
      </w:r>
    </w:p>
    <w:p>
      <w:pPr>
        <w:pStyle w:val="6"/>
        <w:numPr>
          <w:ilvl w:val="0"/>
          <w:numId w:val="6"/>
        </w:numPr>
        <w:spacing w:line="360" w:lineRule="auto"/>
        <w:ind w:firstLineChars="0"/>
        <w:rPr>
          <w:rFonts w:ascii="宋体" w:hAnsi="宋体" w:eastAsia="宋体"/>
          <w:sz w:val="24"/>
          <w:szCs w:val="24"/>
        </w:rPr>
      </w:pPr>
      <w:r>
        <w:rPr>
          <w:rFonts w:hint="eastAsia" w:ascii="宋体" w:hAnsi="宋体" w:eastAsia="宋体"/>
          <w:sz w:val="24"/>
          <w:szCs w:val="24"/>
        </w:rPr>
        <w:t>风险与研究所获知识的社会价值和科学价值相比是适当的。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Ⅰ期临床试验，早期的Ⅱ</w:t>
      </w:r>
      <w:r>
        <w:rPr>
          <w:rFonts w:ascii="宋体" w:hAnsi="宋体" w:eastAsia="宋体"/>
          <w:sz w:val="24"/>
          <w:szCs w:val="24"/>
        </w:rPr>
        <w:t>期临床试验：一般认为没有潜在的个人获益。</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炭疽或埃博拉病毒的疫苗临床试验：例如，一项研究涉及故意使健康人感染炭疽或埃博拉病毒，由于这两种疾病缺乏有效的治疗手段且具有高死亡率的风险，即使该研究可能研发出针对这两种疾病的有效疫苗也是不可接受的。受试者的风险与研究的社会价值和科学价值相权衡应当是合理的，研究对受试者的风险不能突破上限。</w:t>
      </w:r>
    </w:p>
    <w:p>
      <w:pPr>
        <w:spacing w:line="360" w:lineRule="auto"/>
        <w:ind w:firstLine="482" w:firstLineChars="200"/>
        <w:rPr>
          <w:rFonts w:ascii="宋体" w:hAnsi="宋体" w:eastAsia="宋体"/>
          <w:sz w:val="24"/>
          <w:szCs w:val="24"/>
        </w:rPr>
      </w:pPr>
      <w:r>
        <w:rPr>
          <w:rFonts w:ascii="宋体" w:hAnsi="宋体" w:eastAsia="宋体"/>
          <w:b/>
          <w:bCs/>
          <w:sz w:val="24"/>
          <w:szCs w:val="24"/>
        </w:rPr>
        <w:t xml:space="preserve">3.2 </w:t>
      </w:r>
      <w:r>
        <w:rPr>
          <w:rFonts w:ascii="宋体" w:hAnsi="宋体" w:eastAsia="宋体"/>
          <w:sz w:val="24"/>
          <w:szCs w:val="24"/>
        </w:rPr>
        <w:t>对受试者具有潜在个人获益的研究，风险可以接受的条件：</w:t>
      </w:r>
    </w:p>
    <w:p>
      <w:pPr>
        <w:pStyle w:val="6"/>
        <w:numPr>
          <w:ilvl w:val="0"/>
          <w:numId w:val="6"/>
        </w:numPr>
        <w:spacing w:line="360" w:lineRule="auto"/>
        <w:ind w:firstLineChars="0"/>
        <w:rPr>
          <w:rFonts w:ascii="宋体" w:hAnsi="宋体" w:eastAsia="宋体"/>
          <w:sz w:val="24"/>
          <w:szCs w:val="24"/>
        </w:rPr>
      </w:pPr>
      <w:r>
        <w:rPr>
          <w:rFonts w:hint="eastAsia" w:ascii="宋体" w:hAnsi="宋体" w:eastAsia="宋体"/>
          <w:sz w:val="24"/>
          <w:szCs w:val="24"/>
        </w:rPr>
        <w:t>风险已被最小化，并且潜在的个人获益超过风险；</w:t>
      </w:r>
    </w:p>
    <w:p>
      <w:pPr>
        <w:pStyle w:val="6"/>
        <w:numPr>
          <w:ilvl w:val="0"/>
          <w:numId w:val="6"/>
        </w:numPr>
        <w:spacing w:line="360" w:lineRule="auto"/>
        <w:ind w:firstLineChars="0"/>
        <w:rPr>
          <w:rFonts w:ascii="宋体" w:hAnsi="宋体" w:eastAsia="宋体"/>
          <w:sz w:val="24"/>
          <w:szCs w:val="24"/>
        </w:rPr>
      </w:pPr>
      <w:r>
        <w:rPr>
          <w:rFonts w:hint="eastAsia" w:ascii="宋体" w:hAnsi="宋体" w:eastAsia="宋体"/>
          <w:sz w:val="24"/>
          <w:szCs w:val="24"/>
        </w:rPr>
        <w:t>根据预期风险和获益，已获得的证据提示研究干预至少与任何有效的替代方法同样有利。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作为一般规则，研究对照组的受试者应当接受一个已被证明有效的干预；除非不存在已被证明有效的干预措施，或者，出于令人信服的以及科学合理的方法学的理由，使用任何弱于已被证明的最佳有效的干预措施、安慰剂或是不予干预，是确定一种干预措施的有效性或安全性所必须的，而且使用弱于已被证明的最佳有效的干预措施、安慰剂或不予干预不会使患者由于未接受已被证明的最佳干预措施而遭受任何严重的或不可逆伤害的额外风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Ⅲ</w:t>
      </w:r>
      <w:r>
        <w:rPr>
          <w:rFonts w:ascii="宋体" w:hAnsi="宋体" w:eastAsia="宋体"/>
          <w:sz w:val="24"/>
          <w:szCs w:val="24"/>
        </w:rPr>
        <w:t>期临床试验：许多</w:t>
      </w:r>
      <w:r>
        <w:rPr>
          <w:rFonts w:hint="eastAsia" w:ascii="宋体" w:hAnsi="宋体" w:eastAsia="宋体"/>
          <w:sz w:val="24"/>
          <w:szCs w:val="24"/>
        </w:rPr>
        <w:t>Ⅲ</w:t>
      </w:r>
      <w:r>
        <w:rPr>
          <w:rFonts w:ascii="宋体" w:hAnsi="宋体" w:eastAsia="宋体"/>
          <w:sz w:val="24"/>
          <w:szCs w:val="24"/>
        </w:rPr>
        <w:t>期临床试验的药物提供了潜在的个人获益的前景。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令人信服的科学理由：例如，对已证明有效干预的临床反应有高度差异；症状多变，自发缓解率高；研究的病症有很高的安慰剂效应；在这些情况下，如果没有安慰剂对照，试验就无法区分有效干预还是无效干预（试验检测的灵敏度），这就存在令人信服的科学理由。同时，应当确保受试者不会遭受任何严重的或不可逆伤害的额外风险。</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4.资源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伦理委员会应当审查研究项目具备保护受试者所需的资源，包括：</w:t>
      </w:r>
    </w:p>
    <w:p>
      <w:pPr>
        <w:pStyle w:val="6"/>
        <w:numPr>
          <w:ilvl w:val="0"/>
          <w:numId w:val="7"/>
        </w:numPr>
        <w:spacing w:line="360" w:lineRule="auto"/>
        <w:ind w:firstLineChars="0"/>
        <w:rPr>
          <w:rFonts w:ascii="宋体" w:hAnsi="宋体" w:eastAsia="宋体"/>
          <w:sz w:val="24"/>
          <w:szCs w:val="24"/>
        </w:rPr>
      </w:pPr>
      <w:r>
        <w:rPr>
          <w:rFonts w:hint="eastAsia" w:ascii="宋体" w:hAnsi="宋体" w:eastAsia="宋体"/>
          <w:sz w:val="24"/>
          <w:szCs w:val="24"/>
        </w:rPr>
        <w:t>研究者在临床研究约定的期限内有足够的时间实施和完成临床研究。</w:t>
      </w:r>
    </w:p>
    <w:p>
      <w:pPr>
        <w:pStyle w:val="6"/>
        <w:numPr>
          <w:ilvl w:val="0"/>
          <w:numId w:val="7"/>
        </w:numPr>
        <w:spacing w:line="360" w:lineRule="auto"/>
        <w:ind w:firstLineChars="0"/>
        <w:rPr>
          <w:rFonts w:ascii="宋体" w:hAnsi="宋体" w:eastAsia="宋体"/>
          <w:sz w:val="24"/>
          <w:szCs w:val="24"/>
        </w:rPr>
      </w:pPr>
      <w:r>
        <w:rPr>
          <w:rFonts w:hint="eastAsia" w:ascii="宋体" w:hAnsi="宋体" w:eastAsia="宋体"/>
          <w:sz w:val="24"/>
          <w:szCs w:val="24"/>
        </w:rPr>
        <w:t>具有足够数量的合格研究人员。</w:t>
      </w:r>
    </w:p>
    <w:p>
      <w:pPr>
        <w:pStyle w:val="6"/>
        <w:numPr>
          <w:ilvl w:val="0"/>
          <w:numId w:val="7"/>
        </w:numPr>
        <w:spacing w:line="360" w:lineRule="auto"/>
        <w:ind w:firstLineChars="0"/>
        <w:rPr>
          <w:rFonts w:ascii="宋体" w:hAnsi="宋体" w:eastAsia="宋体"/>
          <w:sz w:val="24"/>
          <w:szCs w:val="24"/>
        </w:rPr>
      </w:pPr>
      <w:r>
        <w:rPr>
          <w:rFonts w:hint="eastAsia" w:ascii="宋体" w:hAnsi="宋体" w:eastAsia="宋体"/>
          <w:sz w:val="24"/>
          <w:szCs w:val="24"/>
        </w:rPr>
        <w:t>有程序确保所有研究人员熟悉研究方案，以及研究相关的工作和责任。</w:t>
      </w:r>
    </w:p>
    <w:p>
      <w:pPr>
        <w:pStyle w:val="6"/>
        <w:numPr>
          <w:ilvl w:val="0"/>
          <w:numId w:val="7"/>
        </w:numPr>
        <w:spacing w:line="360" w:lineRule="auto"/>
        <w:ind w:firstLineChars="0"/>
        <w:rPr>
          <w:rFonts w:ascii="宋体" w:hAnsi="宋体" w:eastAsia="宋体"/>
          <w:sz w:val="24"/>
          <w:szCs w:val="24"/>
        </w:rPr>
      </w:pPr>
      <w:r>
        <w:rPr>
          <w:rFonts w:hint="eastAsia" w:ascii="宋体" w:hAnsi="宋体" w:eastAsia="宋体"/>
          <w:sz w:val="24"/>
          <w:szCs w:val="24"/>
        </w:rPr>
        <w:t>能够接触到招募足够数量受试者所需的目标人群。</w:t>
      </w:r>
    </w:p>
    <w:p>
      <w:pPr>
        <w:pStyle w:val="6"/>
        <w:numPr>
          <w:ilvl w:val="0"/>
          <w:numId w:val="7"/>
        </w:numPr>
        <w:spacing w:line="360" w:lineRule="auto"/>
        <w:ind w:firstLineChars="0"/>
        <w:rPr>
          <w:rFonts w:ascii="宋体" w:hAnsi="宋体" w:eastAsia="宋体"/>
          <w:sz w:val="24"/>
          <w:szCs w:val="24"/>
        </w:rPr>
      </w:pPr>
      <w:r>
        <w:rPr>
          <w:rFonts w:hint="eastAsia" w:ascii="宋体" w:hAnsi="宋体" w:eastAsia="宋体"/>
          <w:sz w:val="24"/>
          <w:szCs w:val="24"/>
        </w:rPr>
        <w:t>能够为受试者提供研究所需的、可使用或利用的医疗设备和设施，以及社会心理支持。如果研究现场不能提供所有所需的此类资源，伦理委员会应当审查研究能否从所在地区获得足够的此类资源以满足受试者保护的需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审查考量：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伦理委员会根据研究方案对所需资源的描述，基于研究者所能获得的设施和人员配置，来评估研究是否具备保护受试者所需的资源。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疫苗临床试验：例如，疾控中心疫苗临床试验的试验现场，选定至少一所医疗水平较好、距离受试者入组现场最近、交通畅通的综合医院作为应对疫苗接种突发事件的依托机构。</w:t>
      </w:r>
    </w:p>
    <w:p>
      <w:pPr>
        <w:spacing w:line="360" w:lineRule="auto"/>
        <w:ind w:firstLine="482" w:firstLineChars="200"/>
        <w:rPr>
          <w:rFonts w:ascii="宋体" w:hAnsi="宋体" w:eastAsia="宋体"/>
          <w:b/>
          <w:bCs/>
          <w:sz w:val="24"/>
          <w:szCs w:val="24"/>
        </w:rPr>
      </w:pP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三、安全监查</w:t>
      </w:r>
    </w:p>
    <w:p>
      <w:pPr>
        <w:spacing w:line="360" w:lineRule="auto"/>
        <w:ind w:firstLine="0" w:firstLineChars="0"/>
        <w:rPr>
          <w:rFonts w:hint="eastAsia" w:ascii="宋体" w:hAnsi="宋体" w:eastAsia="宋体"/>
          <w:sz w:val="24"/>
          <w:szCs w:val="24"/>
          <w:shd w:val="clear"/>
        </w:rPr>
      </w:pPr>
      <w:r>
        <w:rPr>
          <w:rFonts w:hint="eastAsia" w:ascii="宋体" w:hAnsi="宋体" w:eastAsia="宋体"/>
          <w:sz w:val="24"/>
          <w:szCs w:val="24"/>
          <w:shd w:val="clear"/>
        </w:rPr>
        <w:t xml:space="preserve">标准：伦理委员会应当审查并确认在适当的情况下，研究有合适的数据安全监查计划。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这是伦理审查同意研究的标准之一。伦理委员会应当审查研究是否满足该标准。伦理委员会医药专业背景的委员应当知晓如何应用该标准。</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1.适当的情况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凡是大于最低风险的研究项目，研究应当有合适的数据安全监查计划。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对于旨在挽救生命、预防严重疾病进展或降低重大不良健康结果风险的研究，以及需要期中分析以确保受试者安全的研究，可能需要设立独立的数据监查委员会，例如：</w:t>
      </w:r>
    </w:p>
    <w:p>
      <w:pPr>
        <w:pStyle w:val="6"/>
        <w:numPr>
          <w:ilvl w:val="0"/>
          <w:numId w:val="8"/>
        </w:numPr>
        <w:spacing w:line="360" w:lineRule="auto"/>
        <w:ind w:firstLineChars="0"/>
        <w:rPr>
          <w:rFonts w:ascii="宋体" w:hAnsi="宋体" w:eastAsia="宋体"/>
          <w:sz w:val="24"/>
          <w:szCs w:val="24"/>
        </w:rPr>
      </w:pPr>
      <w:r>
        <w:rPr>
          <w:rFonts w:hint="eastAsia" w:ascii="宋体" w:hAnsi="宋体" w:eastAsia="宋体"/>
          <w:sz w:val="24"/>
          <w:szCs w:val="24"/>
        </w:rPr>
        <w:t>确证性临床试验，特别是大样本、安全性风险高、包含适应性特征的复杂设计，或者观察周期较长的临床试验。</w:t>
      </w:r>
    </w:p>
    <w:p>
      <w:pPr>
        <w:pStyle w:val="6"/>
        <w:numPr>
          <w:ilvl w:val="0"/>
          <w:numId w:val="8"/>
        </w:numPr>
        <w:spacing w:line="360" w:lineRule="auto"/>
        <w:ind w:firstLineChars="0"/>
        <w:rPr>
          <w:rFonts w:ascii="宋体" w:hAnsi="宋体" w:eastAsia="宋体"/>
          <w:sz w:val="24"/>
          <w:szCs w:val="24"/>
        </w:rPr>
      </w:pPr>
      <w:r>
        <w:rPr>
          <w:rFonts w:hint="eastAsia" w:ascii="宋体" w:hAnsi="宋体" w:eastAsia="宋体"/>
          <w:sz w:val="24"/>
          <w:szCs w:val="24"/>
        </w:rPr>
        <w:t>有必要在试验过程中评估汇总数据的临床试验。</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2.合适的数据安全监查规定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伦理委员会应当根据研究的具体情况，判断研究方案中数据安全监查的条款是否合适。数据安全监查计划的条款可能分散在临床研究方案的不同章节中，这些条款包括：</w:t>
      </w:r>
    </w:p>
    <w:p>
      <w:pPr>
        <w:pStyle w:val="6"/>
        <w:numPr>
          <w:ilvl w:val="0"/>
          <w:numId w:val="9"/>
        </w:numPr>
        <w:spacing w:line="360" w:lineRule="auto"/>
        <w:ind w:firstLineChars="0"/>
        <w:rPr>
          <w:rFonts w:ascii="宋体" w:hAnsi="宋体" w:eastAsia="宋体"/>
          <w:sz w:val="24"/>
          <w:szCs w:val="24"/>
        </w:rPr>
      </w:pPr>
      <w:r>
        <w:rPr>
          <w:rFonts w:hint="eastAsia" w:ascii="宋体" w:hAnsi="宋体" w:eastAsia="宋体"/>
          <w:sz w:val="24"/>
          <w:szCs w:val="24"/>
        </w:rPr>
        <w:t>收集哪些安全信息，如何收集，收集的频率。例如：</w:t>
      </w:r>
    </w:p>
    <w:p>
      <w:pPr>
        <w:pStyle w:val="6"/>
        <w:numPr>
          <w:ilvl w:val="0"/>
          <w:numId w:val="10"/>
        </w:numPr>
        <w:spacing w:line="360" w:lineRule="auto"/>
        <w:ind w:firstLineChars="0"/>
        <w:rPr>
          <w:rFonts w:ascii="宋体" w:hAnsi="宋体" w:eastAsia="宋体"/>
          <w:sz w:val="24"/>
          <w:szCs w:val="24"/>
        </w:rPr>
      </w:pPr>
      <w:r>
        <w:rPr>
          <w:rFonts w:hint="eastAsia" w:ascii="宋体" w:hAnsi="宋体" w:eastAsia="宋体"/>
          <w:sz w:val="24"/>
          <w:szCs w:val="24"/>
        </w:rPr>
        <w:t>研究方案规定的对安全性评价有重要意义的不良事件和实验室异常值。</w:t>
      </w:r>
    </w:p>
    <w:p>
      <w:pPr>
        <w:pStyle w:val="6"/>
        <w:numPr>
          <w:ilvl w:val="0"/>
          <w:numId w:val="10"/>
        </w:numPr>
        <w:spacing w:line="360" w:lineRule="auto"/>
        <w:ind w:firstLineChars="0"/>
        <w:rPr>
          <w:rFonts w:ascii="宋体" w:hAnsi="宋体" w:eastAsia="宋体"/>
          <w:sz w:val="24"/>
          <w:szCs w:val="24"/>
        </w:rPr>
      </w:pPr>
      <w:r>
        <w:rPr>
          <w:rFonts w:hint="eastAsia" w:ascii="宋体" w:hAnsi="宋体" w:eastAsia="宋体"/>
          <w:sz w:val="24"/>
          <w:szCs w:val="24"/>
        </w:rPr>
        <w:t>严重不良事件。</w:t>
      </w:r>
    </w:p>
    <w:p>
      <w:pPr>
        <w:pStyle w:val="6"/>
        <w:numPr>
          <w:ilvl w:val="0"/>
          <w:numId w:val="9"/>
        </w:numPr>
        <w:spacing w:line="360" w:lineRule="auto"/>
        <w:ind w:firstLineChars="0"/>
        <w:rPr>
          <w:rFonts w:ascii="宋体" w:hAnsi="宋体" w:eastAsia="宋体"/>
          <w:sz w:val="24"/>
          <w:szCs w:val="24"/>
        </w:rPr>
      </w:pPr>
      <w:r>
        <w:rPr>
          <w:rFonts w:hint="eastAsia" w:ascii="宋体" w:hAnsi="宋体" w:eastAsia="宋体"/>
          <w:sz w:val="24"/>
          <w:szCs w:val="24"/>
        </w:rPr>
        <w:t>评估累计安全性数据的频率或周期，以及分析和解释的程序。例如，申办者对任何来源的安全性相关信息的分析评估。</w:t>
      </w:r>
    </w:p>
    <w:p>
      <w:pPr>
        <w:pStyle w:val="6"/>
        <w:numPr>
          <w:ilvl w:val="0"/>
          <w:numId w:val="9"/>
        </w:numPr>
        <w:spacing w:line="360" w:lineRule="auto"/>
        <w:ind w:firstLineChars="0"/>
        <w:rPr>
          <w:rFonts w:ascii="宋体" w:hAnsi="宋体" w:eastAsia="宋体"/>
          <w:sz w:val="24"/>
          <w:szCs w:val="24"/>
        </w:rPr>
      </w:pPr>
      <w:r>
        <w:rPr>
          <w:rFonts w:hint="eastAsia" w:ascii="宋体" w:hAnsi="宋体" w:eastAsia="宋体"/>
          <w:sz w:val="24"/>
          <w:szCs w:val="24"/>
        </w:rPr>
        <w:t>数据安全监查结果报告的程序。例如，应当向伦理委员会报告：可疑且非预期严重不良反应报告，其他潜在的严重安全性风险信息的报告，年度安全性报告，以及数据监查委员会（如有）或者期中分析（如有）发现的增加受试者风险或者显著影响临床试验实施的信息。</w:t>
      </w:r>
    </w:p>
    <w:p>
      <w:pPr>
        <w:pStyle w:val="6"/>
        <w:numPr>
          <w:ilvl w:val="0"/>
          <w:numId w:val="9"/>
        </w:numPr>
        <w:spacing w:line="360" w:lineRule="auto"/>
        <w:ind w:firstLineChars="0"/>
        <w:rPr>
          <w:rFonts w:ascii="宋体" w:hAnsi="宋体" w:eastAsia="宋体"/>
          <w:sz w:val="24"/>
          <w:szCs w:val="24"/>
        </w:rPr>
      </w:pPr>
      <w:r>
        <w:rPr>
          <w:rFonts w:hint="eastAsia" w:ascii="宋体" w:hAnsi="宋体" w:eastAsia="宋体"/>
          <w:sz w:val="24"/>
          <w:szCs w:val="24"/>
        </w:rPr>
        <w:t>对特定的事件或终点所计划采取的措施。例如，对症用药的规定，受试者提前退出研究的标准和程序。</w:t>
      </w:r>
    </w:p>
    <w:p>
      <w:pPr>
        <w:pStyle w:val="6"/>
        <w:numPr>
          <w:ilvl w:val="0"/>
          <w:numId w:val="9"/>
        </w:numPr>
        <w:spacing w:line="360" w:lineRule="auto"/>
        <w:ind w:firstLineChars="0"/>
        <w:rPr>
          <w:rFonts w:ascii="宋体" w:hAnsi="宋体" w:eastAsia="宋体"/>
          <w:sz w:val="24"/>
          <w:szCs w:val="24"/>
        </w:rPr>
      </w:pPr>
      <w:r>
        <w:rPr>
          <w:rFonts w:hint="eastAsia" w:ascii="宋体" w:hAnsi="宋体" w:eastAsia="宋体"/>
          <w:sz w:val="24"/>
          <w:szCs w:val="24"/>
        </w:rPr>
        <w:t>监测者。例如，医疗监测，研究人员，数据监查委员会。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审查考量：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应当基于研究干预和程序的特定风险，评估方案规定收集的安全性信息、以及收集的频率是否合适。例如，对安全性评价有重要意义的不良事件和实验室异常值，清洗期（终止现有治疗）对受试者的监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伦理委员会应当基于受试者的风险程度，审查申办者评估累计安全性数据的频率或周期，以及分析和解释的程序是否合适。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伦理委员会应当根据</w:t>
      </w:r>
      <w:r>
        <w:rPr>
          <w:rFonts w:ascii="宋体" w:hAnsi="宋体" w:eastAsia="宋体"/>
          <w:sz w:val="24"/>
          <w:szCs w:val="24"/>
        </w:rPr>
        <w:t>GCP的规定，审查数据安全监查结果报告的程序是否合适。例如，SUSAR报告，其他潜在的严重安全性风险信息的报告，年度安全性报告，数据监查委员会</w:t>
      </w:r>
      <w:r>
        <w:rPr>
          <w:rFonts w:hint="eastAsia" w:ascii="宋体" w:hAnsi="宋体" w:eastAsia="宋体"/>
          <w:sz w:val="24"/>
          <w:szCs w:val="24"/>
        </w:rPr>
        <w:t>报告（如有），期中分析报告（如有）。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伦理委员会应当基于研究预期的风险，审查对特定的事件或终点所计划采取的措施是否合适。例如，预期不良反应的处理规定，对症用药的规定，受试者提前退出研究的规定，终止或者暂停研究的规定。</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3.跟踪审查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研究的风险与获益比会随着研究进程而变化，因此，伦理委员会应当对所同意的研究进行跟踪审查，定期重新评估研究的风险和潜在的个人获益。</w:t>
      </w:r>
    </w:p>
    <w:p>
      <w:pPr>
        <w:spacing w:line="360" w:lineRule="auto"/>
        <w:ind w:firstLine="482" w:firstLineChars="200"/>
        <w:rPr>
          <w:rFonts w:ascii="宋体" w:hAnsi="宋体" w:eastAsia="宋体"/>
          <w:sz w:val="24"/>
          <w:szCs w:val="24"/>
        </w:rPr>
      </w:pPr>
      <w:r>
        <w:rPr>
          <w:rFonts w:ascii="宋体" w:hAnsi="宋体" w:eastAsia="宋体"/>
          <w:b/>
          <w:bCs/>
          <w:sz w:val="24"/>
          <w:szCs w:val="24"/>
        </w:rPr>
        <w:t xml:space="preserve">3.1 </w:t>
      </w:r>
      <w:r>
        <w:rPr>
          <w:rFonts w:ascii="宋体" w:hAnsi="宋体" w:eastAsia="宋体"/>
          <w:sz w:val="24"/>
          <w:szCs w:val="24"/>
        </w:rPr>
        <w:t>年度／定期审查的频率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伦理委员会根据受试者的风险程度，确定年度／定期审查的频率，至少每年</w:t>
      </w:r>
      <w:r>
        <w:rPr>
          <w:rFonts w:ascii="宋体" w:hAnsi="宋体" w:eastAsia="宋体"/>
          <w:sz w:val="24"/>
          <w:szCs w:val="24"/>
        </w:rPr>
        <w:t>1次。伦理</w:t>
      </w:r>
      <w:r>
        <w:rPr>
          <w:rFonts w:hint="eastAsia" w:ascii="宋体" w:hAnsi="宋体" w:eastAsia="宋体"/>
          <w:sz w:val="24"/>
          <w:szCs w:val="24"/>
        </w:rPr>
        <w:t>委员会确定年度／定期审查频率的要点包括：</w:t>
      </w:r>
    </w:p>
    <w:p>
      <w:pPr>
        <w:pStyle w:val="6"/>
        <w:numPr>
          <w:ilvl w:val="0"/>
          <w:numId w:val="11"/>
        </w:numPr>
        <w:spacing w:line="360" w:lineRule="auto"/>
        <w:ind w:firstLineChars="0"/>
        <w:rPr>
          <w:rFonts w:ascii="宋体" w:hAnsi="宋体" w:eastAsia="宋体"/>
          <w:sz w:val="24"/>
          <w:szCs w:val="24"/>
        </w:rPr>
      </w:pPr>
      <w:r>
        <w:rPr>
          <w:rFonts w:hint="eastAsia" w:ascii="宋体" w:hAnsi="宋体" w:eastAsia="宋体"/>
          <w:sz w:val="24"/>
          <w:szCs w:val="24"/>
        </w:rPr>
        <w:t>受试者的风险及其性质。</w:t>
      </w:r>
    </w:p>
    <w:p>
      <w:pPr>
        <w:pStyle w:val="6"/>
        <w:numPr>
          <w:ilvl w:val="0"/>
          <w:numId w:val="11"/>
        </w:numPr>
        <w:spacing w:line="360" w:lineRule="auto"/>
        <w:ind w:firstLineChars="0"/>
        <w:rPr>
          <w:rFonts w:ascii="宋体" w:hAnsi="宋体" w:eastAsia="宋体"/>
          <w:sz w:val="24"/>
          <w:szCs w:val="24"/>
        </w:rPr>
      </w:pPr>
      <w:r>
        <w:rPr>
          <w:rFonts w:hint="eastAsia" w:ascii="宋体" w:hAnsi="宋体" w:eastAsia="宋体"/>
          <w:sz w:val="24"/>
          <w:szCs w:val="24"/>
        </w:rPr>
        <w:t>受试者风险的不确定性程度。</w:t>
      </w:r>
    </w:p>
    <w:p>
      <w:pPr>
        <w:pStyle w:val="6"/>
        <w:numPr>
          <w:ilvl w:val="0"/>
          <w:numId w:val="11"/>
        </w:numPr>
        <w:spacing w:line="360" w:lineRule="auto"/>
        <w:ind w:firstLineChars="0"/>
        <w:rPr>
          <w:rFonts w:ascii="宋体" w:hAnsi="宋体" w:eastAsia="宋体"/>
          <w:sz w:val="24"/>
          <w:szCs w:val="24"/>
        </w:rPr>
      </w:pPr>
      <w:r>
        <w:rPr>
          <w:rFonts w:hint="eastAsia" w:ascii="宋体" w:hAnsi="宋体" w:eastAsia="宋体"/>
          <w:sz w:val="24"/>
          <w:szCs w:val="24"/>
        </w:rPr>
        <w:t>受试者的弱势程度。</w:t>
      </w:r>
    </w:p>
    <w:p>
      <w:pPr>
        <w:pStyle w:val="6"/>
        <w:numPr>
          <w:ilvl w:val="0"/>
          <w:numId w:val="11"/>
        </w:numPr>
        <w:spacing w:line="360" w:lineRule="auto"/>
        <w:ind w:firstLineChars="0"/>
        <w:rPr>
          <w:rFonts w:ascii="宋体" w:hAnsi="宋体" w:eastAsia="宋体"/>
          <w:sz w:val="24"/>
          <w:szCs w:val="24"/>
        </w:rPr>
      </w:pPr>
      <w:r>
        <w:rPr>
          <w:rFonts w:hint="eastAsia" w:ascii="宋体" w:hAnsi="宋体" w:eastAsia="宋体"/>
          <w:sz w:val="24"/>
          <w:szCs w:val="24"/>
        </w:rPr>
        <w:t>研究者进行临床研究的经验。</w:t>
      </w:r>
    </w:p>
    <w:p>
      <w:pPr>
        <w:pStyle w:val="6"/>
        <w:numPr>
          <w:ilvl w:val="0"/>
          <w:numId w:val="11"/>
        </w:numPr>
        <w:spacing w:line="360" w:lineRule="auto"/>
        <w:ind w:firstLineChars="0"/>
        <w:rPr>
          <w:rFonts w:ascii="宋体" w:hAnsi="宋体" w:eastAsia="宋体"/>
          <w:sz w:val="24"/>
          <w:szCs w:val="24"/>
        </w:rPr>
      </w:pPr>
      <w:r>
        <w:rPr>
          <w:rFonts w:hint="eastAsia" w:ascii="宋体" w:hAnsi="宋体" w:eastAsia="宋体"/>
          <w:sz w:val="24"/>
          <w:szCs w:val="24"/>
        </w:rPr>
        <w:t>伦理委员会对研究者或申办者的以往经验，例如，遵循方案研究的既往表现，研究者以往获取知情同意的问题，受试者以往对研究者的抱怨。</w:t>
      </w:r>
    </w:p>
    <w:p>
      <w:pPr>
        <w:pStyle w:val="6"/>
        <w:numPr>
          <w:ilvl w:val="0"/>
          <w:numId w:val="11"/>
        </w:numPr>
        <w:spacing w:line="360" w:lineRule="auto"/>
        <w:ind w:firstLineChars="0"/>
        <w:rPr>
          <w:rFonts w:ascii="宋体" w:hAnsi="宋体" w:eastAsia="宋体"/>
          <w:sz w:val="24"/>
          <w:szCs w:val="24"/>
        </w:rPr>
      </w:pPr>
      <w:r>
        <w:rPr>
          <w:rFonts w:hint="eastAsia" w:ascii="宋体" w:hAnsi="宋体" w:eastAsia="宋体"/>
          <w:sz w:val="24"/>
          <w:szCs w:val="24"/>
        </w:rPr>
        <w:t>研究是否涉及新疗法。</w:t>
      </w:r>
    </w:p>
    <w:p>
      <w:pPr>
        <w:spacing w:line="360" w:lineRule="auto"/>
        <w:ind w:firstLine="482" w:firstLineChars="200"/>
        <w:rPr>
          <w:rFonts w:ascii="宋体" w:hAnsi="宋体" w:eastAsia="宋体"/>
          <w:sz w:val="24"/>
          <w:szCs w:val="24"/>
        </w:rPr>
      </w:pPr>
      <w:r>
        <w:rPr>
          <w:rFonts w:ascii="宋体" w:hAnsi="宋体" w:eastAsia="宋体"/>
          <w:b/>
          <w:bCs/>
          <w:sz w:val="24"/>
          <w:szCs w:val="24"/>
        </w:rPr>
        <w:t xml:space="preserve">3.2 </w:t>
      </w:r>
      <w:r>
        <w:rPr>
          <w:rFonts w:ascii="宋体" w:hAnsi="宋体" w:eastAsia="宋体"/>
          <w:sz w:val="24"/>
          <w:szCs w:val="24"/>
        </w:rPr>
        <w:t>非预期问题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伦理委员会的跟踪审查应当关注增加受试者风险或者显著影响临床研究实施的非预期问题：</w:t>
      </w:r>
    </w:p>
    <w:p>
      <w:pPr>
        <w:pStyle w:val="6"/>
        <w:numPr>
          <w:ilvl w:val="0"/>
          <w:numId w:val="12"/>
        </w:numPr>
        <w:spacing w:line="360" w:lineRule="auto"/>
        <w:ind w:firstLineChars="0"/>
        <w:rPr>
          <w:rFonts w:ascii="宋体" w:hAnsi="宋体" w:eastAsia="宋体"/>
          <w:sz w:val="24"/>
          <w:szCs w:val="24"/>
        </w:rPr>
      </w:pPr>
      <w:r>
        <w:rPr>
          <w:rFonts w:hint="eastAsia" w:ascii="宋体" w:hAnsi="宋体" w:eastAsia="宋体"/>
          <w:sz w:val="24"/>
          <w:szCs w:val="24"/>
        </w:rPr>
        <w:t>为消除对受试者紧急危害的研究方案的偏离或者修改。</w:t>
      </w:r>
    </w:p>
    <w:p>
      <w:pPr>
        <w:pStyle w:val="6"/>
        <w:numPr>
          <w:ilvl w:val="0"/>
          <w:numId w:val="12"/>
        </w:numPr>
        <w:spacing w:line="360" w:lineRule="auto"/>
        <w:ind w:firstLineChars="0"/>
        <w:rPr>
          <w:rFonts w:ascii="宋体" w:hAnsi="宋体" w:eastAsia="宋体"/>
          <w:sz w:val="24"/>
          <w:szCs w:val="24"/>
        </w:rPr>
      </w:pPr>
      <w:r>
        <w:rPr>
          <w:rFonts w:hint="eastAsia" w:ascii="宋体" w:hAnsi="宋体" w:eastAsia="宋体"/>
          <w:sz w:val="24"/>
          <w:szCs w:val="24"/>
        </w:rPr>
        <w:t>增加受试者风险和／或显著影响研究实施的改变。</w:t>
      </w:r>
    </w:p>
    <w:p>
      <w:pPr>
        <w:pStyle w:val="6"/>
        <w:numPr>
          <w:ilvl w:val="0"/>
          <w:numId w:val="12"/>
        </w:numPr>
        <w:spacing w:line="360" w:lineRule="auto"/>
        <w:ind w:firstLineChars="0"/>
        <w:rPr>
          <w:rFonts w:ascii="宋体" w:hAnsi="宋体" w:eastAsia="宋体"/>
          <w:sz w:val="24"/>
          <w:szCs w:val="24"/>
        </w:rPr>
      </w:pPr>
      <w:r>
        <w:rPr>
          <w:rFonts w:hint="eastAsia" w:ascii="宋体" w:hAnsi="宋体" w:eastAsia="宋体"/>
          <w:sz w:val="24"/>
          <w:szCs w:val="24"/>
        </w:rPr>
        <w:t>所有可疑且非预期严重不良反应。</w:t>
      </w:r>
    </w:p>
    <w:p>
      <w:pPr>
        <w:pStyle w:val="6"/>
        <w:numPr>
          <w:ilvl w:val="0"/>
          <w:numId w:val="12"/>
        </w:numPr>
        <w:spacing w:line="360" w:lineRule="auto"/>
        <w:ind w:firstLineChars="0"/>
        <w:rPr>
          <w:rFonts w:ascii="宋体" w:hAnsi="宋体" w:eastAsia="宋体"/>
          <w:sz w:val="24"/>
          <w:szCs w:val="24"/>
        </w:rPr>
      </w:pPr>
      <w:r>
        <w:rPr>
          <w:rFonts w:hint="eastAsia" w:ascii="宋体" w:hAnsi="宋体" w:eastAsia="宋体"/>
          <w:sz w:val="24"/>
          <w:szCs w:val="24"/>
        </w:rPr>
        <w:t>可能对受试者安全或临床研究实施产生不利影响的新信息。例如：</w:t>
      </w:r>
    </w:p>
    <w:p>
      <w:pPr>
        <w:pStyle w:val="6"/>
        <w:numPr>
          <w:ilvl w:val="0"/>
          <w:numId w:val="13"/>
        </w:numPr>
        <w:spacing w:line="360" w:lineRule="auto"/>
        <w:ind w:firstLineChars="0"/>
        <w:rPr>
          <w:rFonts w:ascii="宋体" w:hAnsi="宋体" w:eastAsia="宋体"/>
          <w:sz w:val="24"/>
          <w:szCs w:val="24"/>
        </w:rPr>
      </w:pPr>
      <w:r>
        <w:rPr>
          <w:rFonts w:hint="eastAsia" w:ascii="宋体" w:hAnsi="宋体" w:eastAsia="宋体"/>
          <w:sz w:val="24"/>
          <w:szCs w:val="24"/>
        </w:rPr>
        <w:t>研究中心条件变化，对研究实施产生重大影响，或者减少受试者的保护措施或获益，增加受试者风险的情况。</w:t>
      </w:r>
    </w:p>
    <w:p>
      <w:pPr>
        <w:pStyle w:val="6"/>
        <w:numPr>
          <w:ilvl w:val="0"/>
          <w:numId w:val="14"/>
        </w:numPr>
        <w:spacing w:line="360" w:lineRule="auto"/>
        <w:ind w:firstLineChars="0"/>
        <w:rPr>
          <w:rFonts w:ascii="宋体" w:hAnsi="宋体" w:eastAsia="宋体"/>
          <w:sz w:val="24"/>
          <w:szCs w:val="24"/>
        </w:rPr>
      </w:pPr>
      <w:r>
        <w:rPr>
          <w:rFonts w:hint="eastAsia" w:ascii="宋体" w:hAnsi="宋体" w:eastAsia="宋体"/>
          <w:sz w:val="24"/>
          <w:szCs w:val="24"/>
        </w:rPr>
        <w:t>来源于最新的文献，数据监查委员会，期中分析，其他相关临床试验的报告，受试者的抱怨等的非预期问题。</w:t>
      </w:r>
    </w:p>
    <w:p>
      <w:pPr>
        <w:pStyle w:val="6"/>
        <w:numPr>
          <w:ilvl w:val="0"/>
          <w:numId w:val="15"/>
        </w:numPr>
        <w:spacing w:line="360" w:lineRule="auto"/>
        <w:ind w:firstLineChars="0"/>
        <w:rPr>
          <w:rFonts w:ascii="宋体" w:hAnsi="宋体" w:eastAsia="宋体"/>
          <w:sz w:val="24"/>
          <w:szCs w:val="24"/>
        </w:rPr>
      </w:pPr>
      <w:r>
        <w:rPr>
          <w:rFonts w:hint="eastAsia" w:ascii="宋体" w:hAnsi="宋体" w:eastAsia="宋体"/>
          <w:sz w:val="24"/>
          <w:szCs w:val="24"/>
        </w:rPr>
        <w:t>研究项目被监管部门终止或者暂停。</w:t>
      </w:r>
    </w:p>
    <w:p>
      <w:pPr>
        <w:spacing w:line="360" w:lineRule="auto"/>
        <w:ind w:firstLine="482" w:firstLineChars="200"/>
        <w:rPr>
          <w:rFonts w:ascii="宋体" w:hAnsi="宋体" w:eastAsia="宋体"/>
          <w:sz w:val="24"/>
          <w:szCs w:val="24"/>
        </w:rPr>
      </w:pPr>
      <w:r>
        <w:rPr>
          <w:rFonts w:ascii="宋体" w:hAnsi="宋体" w:eastAsia="宋体"/>
          <w:b/>
          <w:bCs/>
          <w:sz w:val="24"/>
          <w:szCs w:val="24"/>
        </w:rPr>
        <w:t xml:space="preserve">3.3 </w:t>
      </w:r>
      <w:r>
        <w:rPr>
          <w:rFonts w:ascii="宋体" w:hAnsi="宋体" w:eastAsia="宋体"/>
          <w:sz w:val="24"/>
          <w:szCs w:val="24"/>
        </w:rPr>
        <w:t>非预期问题的处理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如果所报告的信息不属于增加受试者风险或者显著影响临床研究实施的非预期问题，除不依从问题外，一般不必采取处理措施。如果是，伦理审查应当考虑采取相应的处理措施，例如：</w:t>
      </w:r>
    </w:p>
    <w:p>
      <w:pPr>
        <w:pStyle w:val="6"/>
        <w:numPr>
          <w:ilvl w:val="0"/>
          <w:numId w:val="16"/>
        </w:numPr>
        <w:spacing w:line="360" w:lineRule="auto"/>
        <w:ind w:firstLineChars="0"/>
        <w:rPr>
          <w:rFonts w:ascii="宋体" w:hAnsi="宋体" w:eastAsia="宋体"/>
          <w:sz w:val="24"/>
          <w:szCs w:val="24"/>
        </w:rPr>
      </w:pPr>
      <w:r>
        <w:rPr>
          <w:rFonts w:hint="eastAsia" w:ascii="宋体" w:hAnsi="宋体" w:eastAsia="宋体"/>
          <w:sz w:val="24"/>
          <w:szCs w:val="24"/>
        </w:rPr>
        <w:t>修改方案。</w:t>
      </w:r>
    </w:p>
    <w:p>
      <w:pPr>
        <w:pStyle w:val="6"/>
        <w:numPr>
          <w:ilvl w:val="0"/>
          <w:numId w:val="17"/>
        </w:numPr>
        <w:spacing w:line="360" w:lineRule="auto"/>
        <w:ind w:firstLineChars="0"/>
        <w:rPr>
          <w:rFonts w:ascii="宋体" w:hAnsi="宋体" w:eastAsia="宋体"/>
          <w:sz w:val="24"/>
          <w:szCs w:val="24"/>
        </w:rPr>
      </w:pPr>
      <w:r>
        <w:rPr>
          <w:rFonts w:hint="eastAsia" w:ascii="宋体" w:hAnsi="宋体" w:eastAsia="宋体"/>
          <w:sz w:val="24"/>
          <w:szCs w:val="24"/>
        </w:rPr>
        <w:t>当此类信息可能与受试者继续参加研究的意愿有关时，修改知情同意书；要求在研受试者重新同意参加研究。</w:t>
      </w:r>
    </w:p>
    <w:p>
      <w:pPr>
        <w:pStyle w:val="6"/>
        <w:numPr>
          <w:ilvl w:val="0"/>
          <w:numId w:val="17"/>
        </w:numPr>
        <w:spacing w:line="360" w:lineRule="auto"/>
        <w:ind w:firstLineChars="0"/>
        <w:rPr>
          <w:rFonts w:ascii="宋体" w:hAnsi="宋体" w:eastAsia="宋体"/>
          <w:sz w:val="24"/>
          <w:szCs w:val="24"/>
        </w:rPr>
      </w:pPr>
      <w:r>
        <w:rPr>
          <w:rFonts w:hint="eastAsia" w:ascii="宋体" w:hAnsi="宋体" w:eastAsia="宋体"/>
          <w:sz w:val="24"/>
          <w:szCs w:val="24"/>
        </w:rPr>
        <w:t>修改年度／定期审查的频率。</w:t>
      </w:r>
    </w:p>
    <w:p>
      <w:pPr>
        <w:pStyle w:val="6"/>
        <w:numPr>
          <w:ilvl w:val="0"/>
          <w:numId w:val="17"/>
        </w:numPr>
        <w:spacing w:line="360" w:lineRule="auto"/>
        <w:ind w:firstLineChars="0"/>
        <w:rPr>
          <w:rFonts w:ascii="宋体" w:hAnsi="宋体" w:eastAsia="宋体"/>
          <w:sz w:val="24"/>
          <w:szCs w:val="24"/>
        </w:rPr>
      </w:pPr>
      <w:r>
        <w:rPr>
          <w:rFonts w:hint="eastAsia" w:ascii="宋体" w:hAnsi="宋体" w:eastAsia="宋体"/>
          <w:sz w:val="24"/>
          <w:szCs w:val="24"/>
        </w:rPr>
        <w:t>观察知情同意的过程。</w:t>
      </w:r>
    </w:p>
    <w:p>
      <w:pPr>
        <w:pStyle w:val="6"/>
        <w:numPr>
          <w:ilvl w:val="0"/>
          <w:numId w:val="17"/>
        </w:numPr>
        <w:spacing w:line="360" w:lineRule="auto"/>
        <w:ind w:firstLineChars="0"/>
        <w:rPr>
          <w:rFonts w:ascii="宋体" w:hAnsi="宋体" w:eastAsia="宋体"/>
          <w:sz w:val="24"/>
          <w:szCs w:val="24"/>
        </w:rPr>
      </w:pPr>
      <w:r>
        <w:rPr>
          <w:rFonts w:hint="eastAsia" w:ascii="宋体" w:hAnsi="宋体" w:eastAsia="宋体"/>
          <w:sz w:val="24"/>
          <w:szCs w:val="24"/>
        </w:rPr>
        <w:t>终止或者暂停已批准的研究。</w:t>
      </w:r>
    </w:p>
    <w:p>
      <w:pPr>
        <w:pStyle w:val="6"/>
        <w:numPr>
          <w:ilvl w:val="0"/>
          <w:numId w:val="17"/>
        </w:numPr>
        <w:spacing w:line="360" w:lineRule="auto"/>
        <w:ind w:firstLineChars="0"/>
        <w:rPr>
          <w:rFonts w:ascii="宋体" w:hAnsi="宋体" w:eastAsia="宋体"/>
          <w:sz w:val="24"/>
          <w:szCs w:val="24"/>
        </w:rPr>
      </w:pPr>
      <w:r>
        <w:rPr>
          <w:rFonts w:hint="eastAsia" w:ascii="宋体" w:hAnsi="宋体" w:eastAsia="宋体"/>
          <w:sz w:val="24"/>
          <w:szCs w:val="24"/>
        </w:rPr>
        <w:t>审查意见通知组织机构的研究管理部门。</w:t>
      </w:r>
    </w:p>
    <w:p>
      <w:pPr>
        <w:spacing w:line="360" w:lineRule="auto"/>
        <w:ind w:firstLine="482" w:firstLineChars="200"/>
        <w:rPr>
          <w:rFonts w:ascii="宋体" w:hAnsi="宋体" w:eastAsia="宋体"/>
          <w:b/>
          <w:bCs/>
          <w:sz w:val="24"/>
          <w:szCs w:val="24"/>
        </w:rPr>
      </w:pP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四、受试者的选择</w:t>
      </w:r>
    </w:p>
    <w:p>
      <w:pPr>
        <w:spacing w:line="360" w:lineRule="auto"/>
        <w:rPr>
          <w:rFonts w:ascii="宋体" w:hAnsi="宋体" w:eastAsia="宋体"/>
          <w:color w:val="auto"/>
          <w:sz w:val="24"/>
          <w:szCs w:val="24"/>
          <w:shd w:val="clear" w:color="auto" w:fill="auto"/>
        </w:rPr>
      </w:pPr>
      <w:r>
        <w:rPr>
          <w:rFonts w:hint="eastAsia" w:ascii="宋体" w:hAnsi="宋体" w:eastAsia="宋体"/>
          <w:color w:val="auto"/>
          <w:sz w:val="24"/>
          <w:szCs w:val="24"/>
          <w:shd w:val="clear" w:color="auto" w:fill="auto"/>
        </w:rPr>
        <w:t xml:space="preserve">标准：伦理委员会应当基于对研究目的，进行研究的环境，涉及弱势人群研究的特殊问题，选择标准和招募程序的考虑，审查并确认受试者的选择是公平的。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这是伦理审查同意研究的标准之一。伦理委员会应当审查每一项研究是否满足该标准。伦理委员会的委员应当知晓如何应用该标准。</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1.公平的选择受试人群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公平是指研究的获益与负担的公平分配。</w:t>
      </w:r>
    </w:p>
    <w:p>
      <w:pPr>
        <w:pStyle w:val="6"/>
        <w:numPr>
          <w:ilvl w:val="0"/>
          <w:numId w:val="18"/>
        </w:numPr>
        <w:spacing w:line="360" w:lineRule="auto"/>
        <w:ind w:firstLineChars="0"/>
        <w:rPr>
          <w:rFonts w:ascii="宋体" w:hAnsi="宋体" w:eastAsia="宋体"/>
          <w:sz w:val="24"/>
          <w:szCs w:val="24"/>
        </w:rPr>
      </w:pPr>
      <w:r>
        <w:rPr>
          <w:rFonts w:hint="eastAsia" w:ascii="宋体" w:hAnsi="宋体" w:eastAsia="宋体"/>
          <w:sz w:val="24"/>
          <w:szCs w:val="24"/>
        </w:rPr>
        <w:t>选择受试人群必须基于科学的理由，而不是他们易于妥协的社会或经济地位。</w:t>
      </w:r>
    </w:p>
    <w:p>
      <w:pPr>
        <w:pStyle w:val="6"/>
        <w:numPr>
          <w:ilvl w:val="0"/>
          <w:numId w:val="18"/>
        </w:numPr>
        <w:spacing w:line="360" w:lineRule="auto"/>
        <w:ind w:firstLineChars="0"/>
        <w:rPr>
          <w:rFonts w:ascii="宋体" w:hAnsi="宋体" w:eastAsia="宋体"/>
          <w:sz w:val="24"/>
          <w:szCs w:val="24"/>
        </w:rPr>
      </w:pPr>
      <w:r>
        <w:rPr>
          <w:rFonts w:hint="eastAsia" w:ascii="宋体" w:hAnsi="宋体" w:eastAsia="宋体"/>
          <w:sz w:val="24"/>
          <w:szCs w:val="24"/>
        </w:rPr>
        <w:t>无条件的排除某些类别的人群参加研究可能导致或加剧医疗的不平等，因此，排除需要特殊保护的人群必须有合理的科学理由和依据。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研究获益的公平分配：研究不应偏向特定人群的健康需求，而应旨在解决不同阶层或群体的多种的健康需求。例如，将弱势群体（如儿童，育龄期妇女，孕妇）排除在研究之外，其结果是该类人群的疾病诊断、预防和治疗的信息非常有限，这就导致了严重的不公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研究负担的公平分配：涉及人的研究通常需要一些人或群体承担风险和负担，以产生保护和促进人类健康所需的知识。研究负担的公平分配需要特别注意，确保已经处于弱势或边缘地位的个人、社区或人群没有被过度（不成比例的）纳入研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审查考量：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伦理委员会应当基于对研究目的，进行研究的环境，涉及弱势人群研究的特殊问题，选择标准和招募程序的考虑，审查并确认受试者的选择是公平的。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研究目的：选择受试人群必须基于科学的理由，这是公平原则的基本要求。研究目的是判断受试人群的选择是否科学合理的重要依据。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进行研究的环境：一般而言，公平分配原则要求从研究结果应用的地理区域的合格人群中选择受试者。研究实施所在地区能否应用研究的结果，是考量公平选择受试人群的一个要点。此外，还要考量进行研究的环境是否处于贫困或边缘化的状况，是否可能被过度利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涉及弱势人群研究的特殊问题：弱势人群容易受到胁迫或不正当影响。涉及弱势群的研究应当特别注意研究负担的公平分配，确保处于弱势或边缘地位的个人、社区或人群没有被过度纳入研究。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选择标准：纳入和排除标准不应基于潜在的歧视性考量，如种族、民族、经济地位、年龄或性别，除非存在一个合理的伦理或科学的理由。例如，如果研究缺乏特定群体的代表（如儿童，哺乳妇女等），将导致或延续健康差异的情况下，公平原则要求尽量在研究中纳入此类人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招募程序：伦理委员会对招募程序的公平性审查，需要重点关注是否存在胁迫或不当影响。</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2.招募程序：避免胁迫或不正当影响</w:t>
      </w:r>
    </w:p>
    <w:p>
      <w:pPr>
        <w:spacing w:line="360" w:lineRule="auto"/>
        <w:ind w:firstLine="482" w:firstLineChars="200"/>
        <w:rPr>
          <w:rFonts w:ascii="宋体" w:hAnsi="宋体" w:eastAsia="宋体"/>
          <w:sz w:val="24"/>
          <w:szCs w:val="24"/>
        </w:rPr>
      </w:pPr>
      <w:r>
        <w:rPr>
          <w:rFonts w:ascii="宋体" w:hAnsi="宋体" w:eastAsia="宋体"/>
          <w:b/>
          <w:bCs/>
          <w:sz w:val="24"/>
          <w:szCs w:val="24"/>
        </w:rPr>
        <w:t xml:space="preserve">2.1 </w:t>
      </w:r>
      <w:r>
        <w:rPr>
          <w:rFonts w:ascii="宋体" w:hAnsi="宋体" w:eastAsia="宋体"/>
          <w:sz w:val="24"/>
          <w:szCs w:val="24"/>
        </w:rPr>
        <w:t>招募者的身份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招募者的身份不应对受试者造成不正当的影响。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患者与临床医生之间的依赖关系：潜在受试者作为患者依赖于临床医生的医疗护理，当其主治医生参与研究时，患者可能不愿拒绝其主治医生发出的参加该研究的邀请。因此，在有依赖关系的情况下，原则上应由一个中立的第三方（如研究护士）获得知情同意。然而，在某些有依赖关系的情况下，最好由医生为病人提供信息，因为他或她最了解病人的状况。但是，为了尽量减少依赖关系的影响，必须采取一些保护措施。从事研究的临床医生必须坦诚告知患者他们有一个双重角色，即作为治疗的临床医生，又作为研究人员。他们必须强调参加研究的自愿性质，以及拒绝或退出研究的权利。他们还必须向病人保证，无论他们做出参加或拒绝的决定，都不会影响他们应享有的治疗或其他权益。</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教授与学生：教授邀请自己的学生作为受试者参加自己的研究项目，可能存在胁迫或不正当的影响。</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 xml:space="preserve">2.2 </w:t>
      </w:r>
      <w:r>
        <w:rPr>
          <w:rFonts w:ascii="宋体" w:hAnsi="宋体" w:eastAsia="宋体"/>
          <w:sz w:val="24"/>
          <w:szCs w:val="24"/>
        </w:rPr>
        <w:t>招募材料不应当含有以下信息：</w:t>
      </w:r>
    </w:p>
    <w:p>
      <w:pPr>
        <w:pStyle w:val="6"/>
        <w:numPr>
          <w:ilvl w:val="0"/>
          <w:numId w:val="19"/>
        </w:numPr>
        <w:spacing w:line="360" w:lineRule="auto"/>
        <w:ind w:firstLineChars="0"/>
        <w:rPr>
          <w:rFonts w:ascii="宋体" w:hAnsi="宋体" w:eastAsia="宋体"/>
          <w:sz w:val="24"/>
          <w:szCs w:val="24"/>
        </w:rPr>
      </w:pPr>
      <w:r>
        <w:rPr>
          <w:rFonts w:hint="eastAsia" w:ascii="宋体" w:hAnsi="宋体" w:eastAsia="宋体"/>
          <w:sz w:val="24"/>
          <w:szCs w:val="24"/>
        </w:rPr>
        <w:t>宣称或者暗示超出知情同意文件和方案描述之外的有利的结果或者其他的获益。</w:t>
      </w:r>
    </w:p>
    <w:p>
      <w:pPr>
        <w:pStyle w:val="6"/>
        <w:numPr>
          <w:ilvl w:val="0"/>
          <w:numId w:val="19"/>
        </w:numPr>
        <w:spacing w:line="360" w:lineRule="auto"/>
        <w:ind w:firstLineChars="0"/>
        <w:rPr>
          <w:rFonts w:ascii="宋体" w:hAnsi="宋体" w:eastAsia="宋体"/>
          <w:sz w:val="24"/>
          <w:szCs w:val="24"/>
        </w:rPr>
      </w:pPr>
      <w:r>
        <w:rPr>
          <w:rFonts w:hint="eastAsia" w:ascii="宋体" w:hAnsi="宋体" w:eastAsia="宋体"/>
          <w:sz w:val="24"/>
          <w:szCs w:val="24"/>
        </w:rPr>
        <w:t>使用“新治疗”、“新药物”或“新药”术语，而没有解释测试物是试验性的。</w:t>
      </w:r>
    </w:p>
    <w:p>
      <w:pPr>
        <w:pStyle w:val="6"/>
        <w:numPr>
          <w:ilvl w:val="0"/>
          <w:numId w:val="19"/>
        </w:numPr>
        <w:spacing w:line="360" w:lineRule="auto"/>
        <w:ind w:firstLineChars="0"/>
        <w:rPr>
          <w:rFonts w:ascii="宋体" w:hAnsi="宋体" w:eastAsia="宋体"/>
          <w:sz w:val="24"/>
          <w:szCs w:val="24"/>
        </w:rPr>
      </w:pPr>
      <w:r>
        <w:rPr>
          <w:rFonts w:hint="eastAsia" w:ascii="宋体" w:hAnsi="宋体" w:eastAsia="宋体"/>
          <w:sz w:val="24"/>
          <w:szCs w:val="24"/>
        </w:rPr>
        <w:t>要求受试者放弃其合法权益。</w:t>
      </w:r>
    </w:p>
    <w:p>
      <w:pPr>
        <w:pStyle w:val="6"/>
        <w:numPr>
          <w:ilvl w:val="0"/>
          <w:numId w:val="19"/>
        </w:numPr>
        <w:spacing w:line="360" w:lineRule="auto"/>
        <w:ind w:firstLineChars="0"/>
        <w:rPr>
          <w:rFonts w:ascii="宋体" w:hAnsi="宋体" w:eastAsia="宋体"/>
          <w:sz w:val="24"/>
          <w:szCs w:val="24"/>
        </w:rPr>
      </w:pPr>
      <w:r>
        <w:rPr>
          <w:rFonts w:hint="eastAsia" w:ascii="宋体" w:hAnsi="宋体" w:eastAsia="宋体"/>
          <w:sz w:val="24"/>
          <w:szCs w:val="24"/>
        </w:rPr>
        <w:t>豁免研究者、申办者或研究机构的过失责任。</w:t>
      </w:r>
    </w:p>
    <w:p>
      <w:pPr>
        <w:pStyle w:val="6"/>
        <w:numPr>
          <w:ilvl w:val="0"/>
          <w:numId w:val="19"/>
        </w:numPr>
        <w:spacing w:line="360" w:lineRule="auto"/>
        <w:ind w:firstLineChars="0"/>
        <w:rPr>
          <w:rFonts w:ascii="宋体" w:hAnsi="宋体" w:eastAsia="宋体"/>
          <w:sz w:val="24"/>
          <w:szCs w:val="24"/>
        </w:rPr>
      </w:pPr>
      <w:r>
        <w:rPr>
          <w:rFonts w:hint="eastAsia" w:ascii="宋体" w:hAnsi="宋体" w:eastAsia="宋体"/>
          <w:sz w:val="24"/>
          <w:szCs w:val="24"/>
        </w:rPr>
        <w:t>以醒目字体方式强调补偿金额。</w:t>
      </w:r>
    </w:p>
    <w:p>
      <w:pPr>
        <w:pStyle w:val="6"/>
        <w:numPr>
          <w:ilvl w:val="0"/>
          <w:numId w:val="19"/>
        </w:numPr>
        <w:spacing w:line="360" w:lineRule="auto"/>
        <w:ind w:firstLineChars="0"/>
        <w:rPr>
          <w:rFonts w:ascii="宋体" w:hAnsi="宋体" w:eastAsia="宋体"/>
          <w:sz w:val="24"/>
          <w:szCs w:val="24"/>
        </w:rPr>
      </w:pPr>
      <w:r>
        <w:rPr>
          <w:rFonts w:hint="eastAsia" w:ascii="宋体" w:hAnsi="宋体" w:eastAsia="宋体"/>
          <w:sz w:val="24"/>
          <w:szCs w:val="24"/>
        </w:rPr>
        <w:t>将受试者参与研究不需要花费金钱的情况表述为“免费治疗”。</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 xml:space="preserve">2.3 </w:t>
      </w:r>
      <w:r>
        <w:rPr>
          <w:rFonts w:ascii="宋体" w:hAnsi="宋体" w:eastAsia="宋体"/>
          <w:sz w:val="24"/>
          <w:szCs w:val="24"/>
        </w:rPr>
        <w:t>如果存在旨在加快招募速度的招募费用，伦理审查应当确认：</w:t>
      </w:r>
    </w:p>
    <w:p>
      <w:pPr>
        <w:pStyle w:val="6"/>
        <w:numPr>
          <w:ilvl w:val="0"/>
          <w:numId w:val="20"/>
        </w:numPr>
        <w:spacing w:line="360" w:lineRule="auto"/>
        <w:ind w:firstLineChars="0"/>
        <w:rPr>
          <w:rFonts w:ascii="宋体" w:hAnsi="宋体" w:eastAsia="宋体"/>
          <w:sz w:val="24"/>
          <w:szCs w:val="24"/>
        </w:rPr>
      </w:pPr>
      <w:r>
        <w:rPr>
          <w:rFonts w:hint="eastAsia" w:ascii="宋体" w:hAnsi="宋体" w:eastAsia="宋体"/>
          <w:sz w:val="24"/>
          <w:szCs w:val="24"/>
        </w:rPr>
        <w:t>给受试者提供了充分的时间和机会以考虑是否参加研究。</w:t>
      </w:r>
    </w:p>
    <w:p>
      <w:pPr>
        <w:pStyle w:val="6"/>
        <w:numPr>
          <w:ilvl w:val="0"/>
          <w:numId w:val="20"/>
        </w:numPr>
        <w:spacing w:line="360" w:lineRule="auto"/>
        <w:ind w:firstLineChars="0"/>
        <w:rPr>
          <w:rFonts w:ascii="宋体" w:hAnsi="宋体" w:eastAsia="宋体"/>
          <w:sz w:val="24"/>
          <w:szCs w:val="24"/>
        </w:rPr>
      </w:pPr>
      <w:r>
        <w:rPr>
          <w:rFonts w:hint="eastAsia" w:ascii="宋体" w:hAnsi="宋体" w:eastAsia="宋体"/>
          <w:sz w:val="24"/>
          <w:szCs w:val="24"/>
        </w:rPr>
        <w:t>没有增加对研究者或受试者施加胁迫或不正当影响的可能性。</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3.补偿与费用</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 xml:space="preserve">3.1 </w:t>
      </w:r>
      <w:r>
        <w:rPr>
          <w:rFonts w:ascii="宋体" w:hAnsi="宋体" w:eastAsia="宋体"/>
          <w:sz w:val="24"/>
          <w:szCs w:val="24"/>
        </w:rPr>
        <w:t>合理的补偿，避免过度劝诱</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补偿是对受试者参与研究所造成的不便和花费的时间的补偿。补偿可以是货币或非货币。后者可以是与研究无关的免费医疗护理，医疗保险，教育材料或其他福利。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补偿金额应与受试者为实现研究目的而参与的活动所花费的时间、以及往返研究现场所花费的时间成正比，具体数额的计算应以该地区或国家的最低小时工资为基准。补偿还应考虑受试者参与研究所造成的不便，例如，按研究程序规定收集标本，入住研究病房，强制饮食控制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知情同意文件应列出补偿的所有信息，包括补偿金额和按比例支付的计划。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审查考量：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应当根据研究所在地区特定文化与人群传统，以及社会经济背景来评估补偿的数额是否适当，确认普通受试者同意参与研究不是基于所给予的补偿，而是他们自己更好的判断；特别是对于受试者没有潜在个人获益的研究，应当谨慎地避免因为过高的补偿数额使受试者忽略了参与研究的风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补偿的水平不应与受试者风险程度相关联。</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补偿应当按照受试者实际完成研究的比例支付，而不是以完成全部研究为条件。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完成研究的奖金数额应当在合理范围，不宜过高，以免导致受试者原本打算退出研究而继续留在研究中。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对无知情同意能力的受试者的补偿：无知情同意能力的人可能容易被监护人利用以获得经济利益。监护人被要求代表无知情同意能力者做出是否同意参加研究，除了给监护人报销交通费和其他直接或间接开支外，不得给予任何其他补偿。若向受试者本人提供补偿是合理的，研究人员不能因为他们缺乏决策能力而拒绝予以补偿。当受试者不能给予知情同意时，必须以受试者可以从中获益的方式提供补偿。</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前退出研究的补偿：研究人员因健康相关理由让受试者从研究中退出，该受试者应得到参加研究直至退出时的补偿。当受试者因与研究相关的损害而退出研究时，必须对这种损害进行治疗，并且受试者有权得到额外的补偿。因受试者故意不依从而被要求必须从研究中退出，研究人员有权扣留部分或全部补偿。受试者由于其他原因不能继续参加研究，研究人员应按照他们完成研究工作量的比例进行补偿。在有一次以上随访或干预的研究中，研究人员不得扣留全部或大部分补偿金直到研究结束，以诱使不愿继续参加研究的受试者留在研究中。</w:t>
      </w:r>
    </w:p>
    <w:p>
      <w:pPr>
        <w:spacing w:line="360" w:lineRule="auto"/>
        <w:ind w:firstLine="482" w:firstLineChars="200"/>
        <w:rPr>
          <w:rFonts w:ascii="宋体" w:hAnsi="宋体" w:eastAsia="宋体"/>
          <w:sz w:val="24"/>
          <w:szCs w:val="24"/>
        </w:rPr>
      </w:pPr>
      <w:r>
        <w:rPr>
          <w:rFonts w:ascii="宋体" w:hAnsi="宋体" w:eastAsia="宋体"/>
          <w:b/>
          <w:bCs/>
          <w:sz w:val="24"/>
          <w:szCs w:val="24"/>
        </w:rPr>
        <w:t>3.2</w:t>
      </w:r>
      <w:r>
        <w:rPr>
          <w:rFonts w:ascii="宋体" w:hAnsi="宋体" w:eastAsia="宋体"/>
          <w:sz w:val="24"/>
          <w:szCs w:val="24"/>
        </w:rPr>
        <w:t xml:space="preserve"> 研究费用的合规支付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受试者参加临床研究的费用包括：①受试者参加研究的直接费用，例如交通费。②临床试验方案规定受试者需要执行的研究干预和研究程序的费用，例如试验药物、检验检查的费用。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审查考量：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直接费用：在观察性研究和干预性研究中，受试者为研究的社会利益做出贡献，不应自己支付或承担参加研究的直接费用（例如交通费用），因此必须合理偿还此类费用。偿还的方式可以是报销，或者是津贴。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研究费用：Ⅰ</w:t>
      </w:r>
      <w:r>
        <w:rPr>
          <w:rFonts w:ascii="宋体" w:hAnsi="宋体" w:eastAsia="宋体"/>
          <w:sz w:val="24"/>
          <w:szCs w:val="24"/>
        </w:rPr>
        <w:t>~</w:t>
      </w:r>
      <w:r>
        <w:rPr>
          <w:rFonts w:hint="eastAsia" w:ascii="宋体" w:hAnsi="宋体" w:eastAsia="宋体"/>
          <w:sz w:val="24"/>
          <w:szCs w:val="24"/>
        </w:rPr>
        <w:t>Ⅲ</w:t>
      </w:r>
      <w:r>
        <w:rPr>
          <w:rFonts w:ascii="宋体" w:hAnsi="宋体" w:eastAsia="宋体"/>
          <w:sz w:val="24"/>
          <w:szCs w:val="24"/>
        </w:rPr>
        <w:t>期临床试验，申办者应当免费向受试者提供试验用药品，支付与临床</w:t>
      </w:r>
      <w:r>
        <w:rPr>
          <w:rFonts w:hint="eastAsia" w:ascii="宋体" w:hAnsi="宋体" w:eastAsia="宋体"/>
          <w:sz w:val="24"/>
          <w:szCs w:val="24"/>
        </w:rPr>
        <w:t>试验相关的医学检测费用。如果属于上市后药物安全性评价的观察性研究，申办者可以不承担研究观察的药品费用。</w:t>
      </w:r>
    </w:p>
    <w:p>
      <w:pPr>
        <w:spacing w:line="360" w:lineRule="auto"/>
        <w:ind w:firstLine="482" w:firstLineChars="200"/>
        <w:rPr>
          <w:rFonts w:ascii="宋体" w:hAnsi="宋体" w:eastAsia="宋体"/>
          <w:b/>
          <w:bCs/>
          <w:sz w:val="24"/>
          <w:szCs w:val="24"/>
        </w:rPr>
      </w:pP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五、知情同意</w:t>
      </w:r>
    </w:p>
    <w:p>
      <w:pPr>
        <w:spacing w:line="360" w:lineRule="auto"/>
        <w:rPr>
          <w:rFonts w:hint="eastAsia" w:ascii="宋体" w:hAnsi="宋体" w:eastAsia="宋体"/>
          <w:sz w:val="24"/>
          <w:szCs w:val="24"/>
          <w:shd w:val="clear"/>
        </w:rPr>
      </w:pPr>
      <w:r>
        <w:rPr>
          <w:rFonts w:hint="eastAsia" w:ascii="宋体" w:hAnsi="宋体" w:eastAsia="宋体"/>
          <w:sz w:val="24"/>
          <w:szCs w:val="24"/>
          <w:shd w:val="clear"/>
        </w:rPr>
        <w:t xml:space="preserve">标准：伦理委员会应当审查并确认将征求每位潜在受试者或其监护人的知情同意，确认获取知情同意过程的计划安排和知情同意文件提供的信息符合规范要求，并有适当的文件证明知情同意。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这是伦理审查同意研究的标准之一。伦理委员会应当审查研究是否满足该标准。伦理委员会的委员应当知晓如何应用该标准。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对于研究者和研究人员将征求每位潜在受试者或其监护人的知情同意，伦理委员会主要从三个方面进行审查：获取知情同意过程的计划安排，知情同意文件提供的信息，有适当的文件证明知情同意。</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1.获取知情同意过程的计划安排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获取知情同意过程的计划安排应当符合以下所有伦理准则：</w:t>
      </w:r>
    </w:p>
    <w:p>
      <w:pPr>
        <w:pStyle w:val="6"/>
        <w:numPr>
          <w:ilvl w:val="0"/>
          <w:numId w:val="21"/>
        </w:numPr>
        <w:spacing w:line="360" w:lineRule="auto"/>
        <w:ind w:firstLineChars="0"/>
        <w:rPr>
          <w:rFonts w:ascii="宋体" w:hAnsi="宋体" w:eastAsia="宋体"/>
          <w:sz w:val="24"/>
          <w:szCs w:val="24"/>
        </w:rPr>
      </w:pPr>
      <w:r>
        <w:rPr>
          <w:rFonts w:hint="eastAsia" w:ascii="宋体" w:hAnsi="宋体" w:eastAsia="宋体"/>
          <w:sz w:val="24"/>
          <w:szCs w:val="24"/>
        </w:rPr>
        <w:t>研究者将获得受试者或其监护人的具有法律效力的知情同意。</w:t>
      </w:r>
    </w:p>
    <w:p>
      <w:pPr>
        <w:pStyle w:val="6"/>
        <w:numPr>
          <w:ilvl w:val="0"/>
          <w:numId w:val="21"/>
        </w:numPr>
        <w:spacing w:line="360" w:lineRule="auto"/>
        <w:ind w:firstLineChars="0"/>
        <w:rPr>
          <w:rFonts w:ascii="宋体" w:hAnsi="宋体" w:eastAsia="宋体"/>
          <w:sz w:val="24"/>
          <w:szCs w:val="24"/>
        </w:rPr>
      </w:pPr>
      <w:r>
        <w:rPr>
          <w:rFonts w:hint="eastAsia" w:ascii="宋体" w:hAnsi="宋体" w:eastAsia="宋体"/>
          <w:sz w:val="24"/>
          <w:szCs w:val="24"/>
        </w:rPr>
        <w:t>只有向潜在受试者或其监护人提供了充分的机会考虑是否参与的情况下，才征求其同意。</w:t>
      </w:r>
    </w:p>
    <w:p>
      <w:pPr>
        <w:pStyle w:val="6"/>
        <w:numPr>
          <w:ilvl w:val="0"/>
          <w:numId w:val="21"/>
        </w:numPr>
        <w:spacing w:line="360" w:lineRule="auto"/>
        <w:ind w:firstLineChars="0"/>
        <w:rPr>
          <w:rFonts w:ascii="宋体" w:hAnsi="宋体" w:eastAsia="宋体"/>
          <w:sz w:val="24"/>
          <w:szCs w:val="24"/>
        </w:rPr>
      </w:pPr>
      <w:r>
        <w:rPr>
          <w:rFonts w:hint="eastAsia" w:ascii="宋体" w:hAnsi="宋体" w:eastAsia="宋体"/>
          <w:sz w:val="24"/>
          <w:szCs w:val="24"/>
        </w:rPr>
        <w:t>只有在将胁迫或不当影响的可能性减少到最低的情况下，才征求其同意。</w:t>
      </w:r>
    </w:p>
    <w:p>
      <w:pPr>
        <w:pStyle w:val="6"/>
        <w:numPr>
          <w:ilvl w:val="0"/>
          <w:numId w:val="21"/>
        </w:numPr>
        <w:spacing w:line="360" w:lineRule="auto"/>
        <w:ind w:firstLineChars="0"/>
        <w:rPr>
          <w:rFonts w:ascii="宋体" w:hAnsi="宋体" w:eastAsia="宋体"/>
          <w:sz w:val="24"/>
          <w:szCs w:val="24"/>
        </w:rPr>
      </w:pPr>
      <w:r>
        <w:rPr>
          <w:rFonts w:hint="eastAsia" w:ascii="宋体" w:hAnsi="宋体" w:eastAsia="宋体"/>
          <w:sz w:val="24"/>
          <w:szCs w:val="24"/>
        </w:rPr>
        <w:t>提供给受试者或其监护人的信息应当使用其能够理解的语言。</w:t>
      </w:r>
    </w:p>
    <w:p>
      <w:pPr>
        <w:pStyle w:val="6"/>
        <w:numPr>
          <w:ilvl w:val="0"/>
          <w:numId w:val="21"/>
        </w:numPr>
        <w:spacing w:line="360" w:lineRule="auto"/>
        <w:ind w:firstLineChars="0"/>
        <w:rPr>
          <w:rFonts w:ascii="宋体" w:hAnsi="宋体" w:eastAsia="宋体"/>
          <w:sz w:val="24"/>
          <w:szCs w:val="24"/>
        </w:rPr>
      </w:pPr>
      <w:r>
        <w:rPr>
          <w:rFonts w:hint="eastAsia" w:ascii="宋体" w:hAnsi="宋体" w:eastAsia="宋体"/>
          <w:sz w:val="24"/>
          <w:szCs w:val="24"/>
        </w:rPr>
        <w:t>知情同意过程不包含任何使受试者或其监护人放弃或似乎放弃其合法权利的语言。</w:t>
      </w:r>
    </w:p>
    <w:p>
      <w:pPr>
        <w:pStyle w:val="6"/>
        <w:numPr>
          <w:ilvl w:val="0"/>
          <w:numId w:val="21"/>
        </w:numPr>
        <w:spacing w:line="360" w:lineRule="auto"/>
        <w:ind w:firstLineChars="0"/>
        <w:rPr>
          <w:rFonts w:ascii="宋体" w:hAnsi="宋体" w:eastAsia="宋体"/>
          <w:sz w:val="24"/>
          <w:szCs w:val="24"/>
        </w:rPr>
      </w:pPr>
      <w:r>
        <w:rPr>
          <w:rFonts w:hint="eastAsia" w:ascii="宋体" w:hAnsi="宋体" w:eastAsia="宋体"/>
          <w:sz w:val="24"/>
          <w:szCs w:val="24"/>
        </w:rPr>
        <w:t>知情同意过程没有豁免或似乎豁免研究者／机构、申办者或其代理人的过失责任。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审查考量：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研究者应当在初始审查申请表中，向伦理委员会提供知情同意过程的计划安排的信息：</w:t>
      </w:r>
    </w:p>
    <w:p>
      <w:pPr>
        <w:pStyle w:val="6"/>
        <w:numPr>
          <w:ilvl w:val="0"/>
          <w:numId w:val="22"/>
        </w:numPr>
        <w:spacing w:line="360" w:lineRule="auto"/>
        <w:ind w:firstLineChars="0"/>
        <w:rPr>
          <w:rFonts w:ascii="宋体" w:hAnsi="宋体" w:eastAsia="宋体"/>
          <w:sz w:val="24"/>
          <w:szCs w:val="24"/>
        </w:rPr>
      </w:pPr>
      <w:r>
        <w:rPr>
          <w:rFonts w:hint="eastAsia" w:ascii="宋体" w:hAnsi="宋体" w:eastAsia="宋体"/>
          <w:sz w:val="24"/>
          <w:szCs w:val="24"/>
        </w:rPr>
        <w:t>谁以及在什么场所实施知情同意。</w:t>
      </w:r>
    </w:p>
    <w:p>
      <w:pPr>
        <w:pStyle w:val="6"/>
        <w:numPr>
          <w:ilvl w:val="0"/>
          <w:numId w:val="22"/>
        </w:numPr>
        <w:spacing w:line="360" w:lineRule="auto"/>
        <w:ind w:firstLineChars="0"/>
        <w:rPr>
          <w:rFonts w:ascii="宋体" w:hAnsi="宋体" w:eastAsia="宋体"/>
          <w:sz w:val="24"/>
          <w:szCs w:val="24"/>
        </w:rPr>
      </w:pPr>
      <w:r>
        <w:rPr>
          <w:rFonts w:hint="eastAsia" w:ascii="宋体" w:hAnsi="宋体" w:eastAsia="宋体"/>
          <w:sz w:val="24"/>
          <w:szCs w:val="24"/>
        </w:rPr>
        <w:t>提供同意或许可的人（受试者，或监护人）。</w:t>
      </w:r>
    </w:p>
    <w:p>
      <w:pPr>
        <w:pStyle w:val="6"/>
        <w:numPr>
          <w:ilvl w:val="0"/>
          <w:numId w:val="22"/>
        </w:numPr>
        <w:spacing w:line="360" w:lineRule="auto"/>
        <w:ind w:firstLineChars="0"/>
        <w:rPr>
          <w:rFonts w:ascii="宋体" w:hAnsi="宋体" w:eastAsia="宋体"/>
          <w:sz w:val="24"/>
          <w:szCs w:val="24"/>
        </w:rPr>
      </w:pPr>
      <w:r>
        <w:rPr>
          <w:rFonts w:hint="eastAsia" w:ascii="宋体" w:hAnsi="宋体" w:eastAsia="宋体"/>
          <w:sz w:val="24"/>
          <w:szCs w:val="24"/>
        </w:rPr>
        <w:t>获取知情同意的时间安排。</w:t>
      </w:r>
    </w:p>
    <w:p>
      <w:pPr>
        <w:pStyle w:val="6"/>
        <w:numPr>
          <w:ilvl w:val="0"/>
          <w:numId w:val="22"/>
        </w:numPr>
        <w:spacing w:line="360" w:lineRule="auto"/>
        <w:ind w:firstLineChars="0"/>
        <w:rPr>
          <w:rFonts w:ascii="宋体" w:hAnsi="宋体" w:eastAsia="宋体"/>
          <w:sz w:val="24"/>
          <w:szCs w:val="24"/>
        </w:rPr>
      </w:pPr>
      <w:r>
        <w:rPr>
          <w:rFonts w:hint="eastAsia" w:ascii="宋体" w:hAnsi="宋体" w:eastAsia="宋体"/>
          <w:sz w:val="24"/>
          <w:szCs w:val="24"/>
        </w:rPr>
        <w:t>为减少胁迫或不当影响的可能性所采取的措施。</w:t>
      </w:r>
    </w:p>
    <w:p>
      <w:pPr>
        <w:pStyle w:val="6"/>
        <w:numPr>
          <w:ilvl w:val="0"/>
          <w:numId w:val="22"/>
        </w:numPr>
        <w:spacing w:line="360" w:lineRule="auto"/>
        <w:ind w:firstLineChars="0"/>
        <w:rPr>
          <w:rFonts w:ascii="宋体" w:hAnsi="宋体" w:eastAsia="宋体"/>
          <w:sz w:val="24"/>
          <w:szCs w:val="24"/>
        </w:rPr>
      </w:pPr>
      <w:r>
        <w:rPr>
          <w:rFonts w:hint="eastAsia" w:ascii="宋体" w:hAnsi="宋体" w:eastAsia="宋体"/>
          <w:sz w:val="24"/>
          <w:szCs w:val="24"/>
        </w:rPr>
        <w:t>获取知情同意者所使用的语言。</w:t>
      </w:r>
    </w:p>
    <w:p>
      <w:pPr>
        <w:pStyle w:val="6"/>
        <w:numPr>
          <w:ilvl w:val="0"/>
          <w:numId w:val="22"/>
        </w:numPr>
        <w:spacing w:line="360" w:lineRule="auto"/>
        <w:ind w:firstLineChars="0"/>
        <w:rPr>
          <w:rFonts w:ascii="宋体" w:hAnsi="宋体" w:eastAsia="宋体"/>
          <w:sz w:val="24"/>
          <w:szCs w:val="24"/>
        </w:rPr>
      </w:pPr>
      <w:r>
        <w:rPr>
          <w:rFonts w:hint="eastAsia" w:ascii="宋体" w:hAnsi="宋体" w:eastAsia="宋体"/>
          <w:sz w:val="24"/>
          <w:szCs w:val="24"/>
        </w:rPr>
        <w:t>潜在受试者或其监护人所能理解的语言。</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根据研究者提供的这些信息，伦理委员会审查获取知情同意过程的计划安排是否符合伦理准则。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谁获取知情同意：知情同意必须由研究团队的成员获得。在患者与临床医生之间存在依赖关系的情况下，研究者应当授权具备适当的资质，且有先前获取知情同意经验的、中立的第三方（例如研究护士）获取知情同意。获取知情同意的人员应当对研究有充分的了解，以潜在受试者可以理解的简明语言提供信息，并能回答潜在受试者的任何问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理解：受试者理解信息的能力取决个人的成熟度，受教育水平和价值观。受试者的理解还取决于研究人员耐心细致的沟通能力和意愿，以及知情同意过程的气氛、场所和地点。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获取知情同意的时间安排：①受试者了解研究的详细情况，包括阅读知情同意书，提问，答疑的时间安排。②做出是否参加研究的决定，包括与家人朋友商量，考虑的时间安排。</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2.知情同意文件提供的信息：</w:t>
      </w:r>
    </w:p>
    <w:p>
      <w:pPr>
        <w:spacing w:line="360" w:lineRule="auto"/>
        <w:ind w:firstLine="482" w:firstLineChars="200"/>
        <w:rPr>
          <w:rFonts w:ascii="宋体" w:hAnsi="宋体" w:eastAsia="宋体"/>
          <w:sz w:val="24"/>
          <w:szCs w:val="24"/>
        </w:rPr>
      </w:pPr>
      <w:r>
        <w:rPr>
          <w:rFonts w:ascii="宋体" w:hAnsi="宋体" w:eastAsia="宋体"/>
          <w:b/>
          <w:bCs/>
          <w:sz w:val="24"/>
          <w:szCs w:val="24"/>
        </w:rPr>
        <w:t>2.1</w:t>
      </w:r>
      <w:r>
        <w:rPr>
          <w:rFonts w:ascii="宋体" w:hAnsi="宋体" w:eastAsia="宋体"/>
          <w:sz w:val="24"/>
          <w:szCs w:val="24"/>
        </w:rPr>
        <w:t xml:space="preserve"> 涉及人的生物医学研究：知情同意文件提供的信息包括基本信息和适当的附加信息。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基本信息：知情同意文件应当提供的基本信息</w:t>
      </w:r>
    </w:p>
    <w:p>
      <w:pPr>
        <w:pStyle w:val="6"/>
        <w:numPr>
          <w:ilvl w:val="0"/>
          <w:numId w:val="23"/>
        </w:numPr>
        <w:spacing w:line="360" w:lineRule="auto"/>
        <w:ind w:firstLineChars="0"/>
        <w:rPr>
          <w:rFonts w:ascii="宋体" w:hAnsi="宋体" w:eastAsia="宋体"/>
          <w:sz w:val="24"/>
          <w:szCs w:val="24"/>
        </w:rPr>
      </w:pPr>
      <w:r>
        <w:rPr>
          <w:rFonts w:hint="eastAsia" w:ascii="宋体" w:hAnsi="宋体" w:eastAsia="宋体"/>
          <w:sz w:val="24"/>
          <w:szCs w:val="24"/>
        </w:rPr>
        <w:t>说明试验的研究性质。</w:t>
      </w:r>
    </w:p>
    <w:p>
      <w:pPr>
        <w:pStyle w:val="6"/>
        <w:numPr>
          <w:ilvl w:val="0"/>
          <w:numId w:val="23"/>
        </w:numPr>
        <w:spacing w:line="360" w:lineRule="auto"/>
        <w:ind w:firstLineChars="0"/>
        <w:rPr>
          <w:rFonts w:ascii="宋体" w:hAnsi="宋体" w:eastAsia="宋体"/>
          <w:sz w:val="24"/>
          <w:szCs w:val="24"/>
        </w:rPr>
      </w:pPr>
      <w:r>
        <w:rPr>
          <w:rFonts w:hint="eastAsia" w:ascii="宋体" w:hAnsi="宋体" w:eastAsia="宋体"/>
          <w:sz w:val="24"/>
          <w:szCs w:val="24"/>
        </w:rPr>
        <w:t>解释研究目的。</w:t>
      </w:r>
    </w:p>
    <w:p>
      <w:pPr>
        <w:pStyle w:val="6"/>
        <w:numPr>
          <w:ilvl w:val="0"/>
          <w:numId w:val="23"/>
        </w:numPr>
        <w:spacing w:line="360" w:lineRule="auto"/>
        <w:ind w:firstLineChars="0"/>
        <w:rPr>
          <w:rFonts w:ascii="宋体" w:hAnsi="宋体" w:eastAsia="宋体"/>
          <w:sz w:val="24"/>
          <w:szCs w:val="24"/>
        </w:rPr>
      </w:pPr>
      <w:r>
        <w:rPr>
          <w:rFonts w:hint="eastAsia" w:ascii="宋体" w:hAnsi="宋体" w:eastAsia="宋体"/>
          <w:sz w:val="24"/>
          <w:szCs w:val="24"/>
        </w:rPr>
        <w:t>受试者参与研究的预期持续时间。</w:t>
      </w:r>
    </w:p>
    <w:p>
      <w:pPr>
        <w:pStyle w:val="6"/>
        <w:numPr>
          <w:ilvl w:val="0"/>
          <w:numId w:val="23"/>
        </w:numPr>
        <w:spacing w:line="360" w:lineRule="auto"/>
        <w:ind w:firstLineChars="0"/>
        <w:rPr>
          <w:rFonts w:ascii="宋体" w:hAnsi="宋体" w:eastAsia="宋体"/>
          <w:sz w:val="24"/>
          <w:szCs w:val="24"/>
        </w:rPr>
      </w:pPr>
      <w:r>
        <w:rPr>
          <w:rFonts w:hint="eastAsia" w:ascii="宋体" w:hAnsi="宋体" w:eastAsia="宋体"/>
          <w:sz w:val="24"/>
          <w:szCs w:val="24"/>
        </w:rPr>
        <w:t>说明受试者需要遵循的程序。</w:t>
      </w:r>
    </w:p>
    <w:p>
      <w:pPr>
        <w:pStyle w:val="6"/>
        <w:numPr>
          <w:ilvl w:val="0"/>
          <w:numId w:val="23"/>
        </w:numPr>
        <w:spacing w:line="360" w:lineRule="auto"/>
        <w:ind w:firstLineChars="0"/>
        <w:rPr>
          <w:rFonts w:ascii="宋体" w:hAnsi="宋体" w:eastAsia="宋体"/>
          <w:sz w:val="24"/>
          <w:szCs w:val="24"/>
        </w:rPr>
      </w:pPr>
      <w:r>
        <w:rPr>
          <w:rFonts w:hint="eastAsia" w:ascii="宋体" w:hAnsi="宋体" w:eastAsia="宋体"/>
          <w:sz w:val="24"/>
          <w:szCs w:val="24"/>
        </w:rPr>
        <w:t>说明其中所涉及的任何试验性程序。</w:t>
      </w:r>
    </w:p>
    <w:p>
      <w:pPr>
        <w:pStyle w:val="6"/>
        <w:numPr>
          <w:ilvl w:val="0"/>
          <w:numId w:val="23"/>
        </w:numPr>
        <w:spacing w:line="360" w:lineRule="auto"/>
        <w:ind w:firstLineChars="0"/>
        <w:rPr>
          <w:rFonts w:ascii="宋体" w:hAnsi="宋体" w:eastAsia="宋体"/>
          <w:sz w:val="24"/>
          <w:szCs w:val="24"/>
        </w:rPr>
      </w:pPr>
      <w:r>
        <w:rPr>
          <w:rFonts w:hint="eastAsia" w:ascii="宋体" w:hAnsi="宋体" w:eastAsia="宋体"/>
          <w:sz w:val="24"/>
          <w:szCs w:val="24"/>
        </w:rPr>
        <w:t>说明对受试者任何合理可预期的风险或不适。</w:t>
      </w:r>
    </w:p>
    <w:p>
      <w:pPr>
        <w:pStyle w:val="6"/>
        <w:numPr>
          <w:ilvl w:val="0"/>
          <w:numId w:val="23"/>
        </w:numPr>
        <w:spacing w:line="360" w:lineRule="auto"/>
        <w:ind w:firstLineChars="0"/>
        <w:rPr>
          <w:rFonts w:ascii="宋体" w:hAnsi="宋体" w:eastAsia="宋体"/>
          <w:sz w:val="24"/>
          <w:szCs w:val="24"/>
        </w:rPr>
      </w:pPr>
      <w:r>
        <w:rPr>
          <w:rFonts w:hint="eastAsia" w:ascii="宋体" w:hAnsi="宋体" w:eastAsia="宋体"/>
          <w:sz w:val="24"/>
          <w:szCs w:val="24"/>
        </w:rPr>
        <w:t>说明从研究中可以合理预期的对受试者或他人的任何获益，以及不能获益的可能性。</w:t>
      </w:r>
    </w:p>
    <w:p>
      <w:pPr>
        <w:pStyle w:val="6"/>
        <w:numPr>
          <w:ilvl w:val="0"/>
          <w:numId w:val="23"/>
        </w:numPr>
        <w:spacing w:line="360" w:lineRule="auto"/>
        <w:ind w:firstLineChars="0"/>
        <w:rPr>
          <w:rFonts w:ascii="宋体" w:hAnsi="宋体" w:eastAsia="宋体"/>
          <w:sz w:val="24"/>
          <w:szCs w:val="24"/>
        </w:rPr>
      </w:pPr>
      <w:r>
        <w:rPr>
          <w:rFonts w:hint="eastAsia" w:ascii="宋体" w:hAnsi="宋体" w:eastAsia="宋体"/>
          <w:sz w:val="24"/>
          <w:szCs w:val="24"/>
        </w:rPr>
        <w:t>说明对受试者有益的、可选择的替代程序或治疗方法（如有），及其重要的潜在获益和风险。</w:t>
      </w:r>
    </w:p>
    <w:p>
      <w:pPr>
        <w:pStyle w:val="6"/>
        <w:numPr>
          <w:ilvl w:val="0"/>
          <w:numId w:val="23"/>
        </w:numPr>
        <w:spacing w:line="360" w:lineRule="auto"/>
        <w:ind w:firstLineChars="0"/>
        <w:rPr>
          <w:rFonts w:ascii="宋体" w:hAnsi="宋体" w:eastAsia="宋体"/>
          <w:sz w:val="24"/>
          <w:szCs w:val="24"/>
        </w:rPr>
      </w:pPr>
      <w:r>
        <w:rPr>
          <w:rFonts w:hint="eastAsia" w:ascii="宋体" w:hAnsi="宋体" w:eastAsia="宋体"/>
          <w:sz w:val="24"/>
          <w:szCs w:val="24"/>
        </w:rPr>
        <w:t>说明维护可识别受试者身份记录的机密性的程度（如有）。</w:t>
      </w:r>
    </w:p>
    <w:p>
      <w:pPr>
        <w:pStyle w:val="6"/>
        <w:numPr>
          <w:ilvl w:val="0"/>
          <w:numId w:val="23"/>
        </w:numPr>
        <w:spacing w:line="360" w:lineRule="auto"/>
        <w:ind w:firstLineChars="0"/>
        <w:rPr>
          <w:rFonts w:ascii="宋体" w:hAnsi="宋体" w:eastAsia="宋体"/>
          <w:sz w:val="24"/>
          <w:szCs w:val="24"/>
        </w:rPr>
      </w:pPr>
      <w:r>
        <w:rPr>
          <w:rFonts w:hint="eastAsia" w:ascii="宋体" w:hAnsi="宋体" w:eastAsia="宋体"/>
          <w:sz w:val="24"/>
          <w:szCs w:val="24"/>
        </w:rPr>
        <w:t>说明受试者需要获得研究相关问题的解答时，可以联系谁。</w:t>
      </w:r>
    </w:p>
    <w:p>
      <w:pPr>
        <w:pStyle w:val="6"/>
        <w:numPr>
          <w:ilvl w:val="0"/>
          <w:numId w:val="24"/>
        </w:numPr>
        <w:spacing w:line="360" w:lineRule="auto"/>
        <w:ind w:firstLineChars="0"/>
        <w:rPr>
          <w:rFonts w:ascii="宋体" w:hAnsi="宋体" w:eastAsia="宋体"/>
          <w:sz w:val="24"/>
          <w:szCs w:val="24"/>
        </w:rPr>
      </w:pPr>
      <w:r>
        <w:rPr>
          <w:rFonts w:hint="eastAsia" w:ascii="宋体" w:hAnsi="宋体" w:eastAsia="宋体"/>
          <w:sz w:val="24"/>
          <w:szCs w:val="24"/>
        </w:rPr>
        <w:t>说明受试者需要获得受试者权益相关问题的解答时，可以联系谁。</w:t>
      </w:r>
    </w:p>
    <w:p>
      <w:pPr>
        <w:pStyle w:val="6"/>
        <w:numPr>
          <w:ilvl w:val="0"/>
          <w:numId w:val="25"/>
        </w:numPr>
        <w:spacing w:line="360" w:lineRule="auto"/>
        <w:ind w:firstLineChars="0"/>
        <w:rPr>
          <w:rFonts w:ascii="宋体" w:hAnsi="宋体" w:eastAsia="宋体"/>
          <w:sz w:val="24"/>
          <w:szCs w:val="24"/>
        </w:rPr>
      </w:pPr>
      <w:r>
        <w:rPr>
          <w:rFonts w:hint="eastAsia" w:ascii="宋体" w:hAnsi="宋体" w:eastAsia="宋体"/>
          <w:sz w:val="24"/>
          <w:szCs w:val="24"/>
        </w:rPr>
        <w:t>说明受试者发生研究相关损害时，可以联系谁。</w:t>
      </w:r>
    </w:p>
    <w:p>
      <w:pPr>
        <w:pStyle w:val="6"/>
        <w:numPr>
          <w:ilvl w:val="0"/>
          <w:numId w:val="26"/>
        </w:numPr>
        <w:spacing w:line="360" w:lineRule="auto"/>
        <w:ind w:firstLineChars="0"/>
        <w:rPr>
          <w:rFonts w:ascii="宋体" w:hAnsi="宋体" w:eastAsia="宋体"/>
          <w:sz w:val="24"/>
          <w:szCs w:val="24"/>
        </w:rPr>
      </w:pPr>
      <w:r>
        <w:rPr>
          <w:rFonts w:hint="eastAsia" w:ascii="宋体" w:hAnsi="宋体" w:eastAsia="宋体"/>
          <w:sz w:val="24"/>
          <w:szCs w:val="24"/>
        </w:rPr>
        <w:t>研究小组的联系方式，以讨论他们所关注的问题，获取信息，提出诉求。</w:t>
      </w:r>
    </w:p>
    <w:p>
      <w:pPr>
        <w:pStyle w:val="6"/>
        <w:numPr>
          <w:ilvl w:val="0"/>
          <w:numId w:val="27"/>
        </w:numPr>
        <w:spacing w:line="360" w:lineRule="auto"/>
        <w:ind w:firstLineChars="0"/>
        <w:rPr>
          <w:rFonts w:ascii="宋体" w:hAnsi="宋体" w:eastAsia="宋体"/>
          <w:sz w:val="24"/>
          <w:szCs w:val="24"/>
        </w:rPr>
      </w:pPr>
      <w:r>
        <w:rPr>
          <w:rFonts w:hint="eastAsia" w:ascii="宋体" w:hAnsi="宋体" w:eastAsia="宋体"/>
          <w:sz w:val="24"/>
          <w:szCs w:val="24"/>
        </w:rPr>
        <w:t>独立于研究小组之外的伦理委员会联系方式，以处理诉求和意见。</w:t>
      </w:r>
    </w:p>
    <w:p>
      <w:pPr>
        <w:pStyle w:val="6"/>
        <w:numPr>
          <w:ilvl w:val="0"/>
          <w:numId w:val="28"/>
        </w:numPr>
        <w:spacing w:line="360" w:lineRule="auto"/>
        <w:ind w:firstLineChars="0"/>
        <w:rPr>
          <w:rFonts w:ascii="宋体" w:hAnsi="宋体" w:eastAsia="宋体"/>
          <w:sz w:val="24"/>
          <w:szCs w:val="24"/>
        </w:rPr>
      </w:pPr>
      <w:r>
        <w:rPr>
          <w:rFonts w:hint="eastAsia" w:ascii="宋体" w:hAnsi="宋体" w:eastAsia="宋体"/>
          <w:sz w:val="24"/>
          <w:szCs w:val="24"/>
        </w:rPr>
        <w:t>说明受试者参与研究是自愿的。</w:t>
      </w:r>
    </w:p>
    <w:p>
      <w:pPr>
        <w:pStyle w:val="6"/>
        <w:numPr>
          <w:ilvl w:val="0"/>
          <w:numId w:val="29"/>
        </w:numPr>
        <w:spacing w:line="360" w:lineRule="auto"/>
        <w:ind w:firstLineChars="0"/>
        <w:rPr>
          <w:rFonts w:ascii="宋体" w:hAnsi="宋体" w:eastAsia="宋体"/>
          <w:sz w:val="24"/>
          <w:szCs w:val="24"/>
        </w:rPr>
      </w:pPr>
      <w:r>
        <w:rPr>
          <w:rFonts w:hint="eastAsia" w:ascii="宋体" w:hAnsi="宋体" w:eastAsia="宋体"/>
          <w:sz w:val="24"/>
          <w:szCs w:val="24"/>
        </w:rPr>
        <w:t>声明如果潜在受试者拒绝参与研究，将不会受到处罚，不会损失其有权享有的利益。</w:t>
      </w:r>
    </w:p>
    <w:p>
      <w:pPr>
        <w:pStyle w:val="6"/>
        <w:numPr>
          <w:ilvl w:val="0"/>
          <w:numId w:val="30"/>
        </w:numPr>
        <w:spacing w:line="360" w:lineRule="auto"/>
        <w:ind w:firstLineChars="0"/>
        <w:rPr>
          <w:rFonts w:ascii="宋体" w:hAnsi="宋体" w:eastAsia="宋体"/>
          <w:sz w:val="24"/>
          <w:szCs w:val="24"/>
        </w:rPr>
      </w:pPr>
      <w:r>
        <w:rPr>
          <w:rFonts w:hint="eastAsia" w:ascii="宋体" w:hAnsi="宋体" w:eastAsia="宋体"/>
          <w:sz w:val="24"/>
          <w:szCs w:val="24"/>
        </w:rPr>
        <w:t>声明受试者在任何时候退出试验，不会受到处罚或损失其有权享有的利益。</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附加信息：政府监督管理部门监管的研究，知情同意文件应当提供的附加信息：</w:t>
      </w:r>
    </w:p>
    <w:p>
      <w:pPr>
        <w:pStyle w:val="6"/>
        <w:numPr>
          <w:ilvl w:val="0"/>
          <w:numId w:val="30"/>
        </w:numPr>
        <w:spacing w:line="360" w:lineRule="auto"/>
        <w:ind w:firstLineChars="0"/>
        <w:rPr>
          <w:rFonts w:ascii="宋体" w:hAnsi="宋体" w:eastAsia="宋体"/>
          <w:sz w:val="24"/>
          <w:szCs w:val="24"/>
        </w:rPr>
      </w:pPr>
      <w:r>
        <w:rPr>
          <w:rFonts w:hint="eastAsia" w:ascii="宋体" w:hAnsi="宋体" w:eastAsia="宋体"/>
          <w:sz w:val="24"/>
          <w:szCs w:val="24"/>
        </w:rPr>
        <w:t>说明政府监督管理部门可能对受试者的原始医学记录进行检查。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附加信息：大于最低风险的研究，知情同意文件应当提供的附加信息：</w:t>
      </w:r>
    </w:p>
    <w:p>
      <w:pPr>
        <w:pStyle w:val="6"/>
        <w:numPr>
          <w:ilvl w:val="0"/>
          <w:numId w:val="30"/>
        </w:numPr>
        <w:spacing w:line="360" w:lineRule="auto"/>
        <w:ind w:firstLineChars="0"/>
        <w:rPr>
          <w:rFonts w:ascii="宋体" w:hAnsi="宋体" w:eastAsia="宋体"/>
          <w:sz w:val="24"/>
          <w:szCs w:val="24"/>
        </w:rPr>
      </w:pPr>
      <w:r>
        <w:rPr>
          <w:rFonts w:hint="eastAsia" w:ascii="宋体" w:hAnsi="宋体" w:eastAsia="宋体"/>
          <w:sz w:val="24"/>
          <w:szCs w:val="24"/>
        </w:rPr>
        <w:t>说明如果发生损害，是否可以获得补偿。如果可以获得补偿，补偿将包括什么内容，或者可以从哪里获得进一步的信息。</w:t>
      </w:r>
    </w:p>
    <w:p>
      <w:pPr>
        <w:pStyle w:val="6"/>
        <w:numPr>
          <w:ilvl w:val="0"/>
          <w:numId w:val="30"/>
        </w:numPr>
        <w:spacing w:line="360" w:lineRule="auto"/>
        <w:ind w:firstLineChars="0"/>
        <w:rPr>
          <w:rFonts w:ascii="宋体" w:hAnsi="宋体" w:eastAsia="宋体"/>
          <w:sz w:val="24"/>
          <w:szCs w:val="24"/>
        </w:rPr>
      </w:pPr>
      <w:r>
        <w:rPr>
          <w:rFonts w:hint="eastAsia" w:ascii="宋体" w:hAnsi="宋体" w:eastAsia="宋体"/>
          <w:sz w:val="24"/>
          <w:szCs w:val="24"/>
        </w:rPr>
        <w:t>说明如果发生损害，是否可以获得医药治疗。说明如果发生损害时可以获得医药治疗，它将包括哪些内容，或者可以从哪里获得进一步的信息。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附加信息：适当时，知情同意文件提供给每位受试者的附加信息：</w:t>
      </w:r>
    </w:p>
    <w:p>
      <w:pPr>
        <w:pStyle w:val="6"/>
        <w:numPr>
          <w:ilvl w:val="0"/>
          <w:numId w:val="31"/>
        </w:numPr>
        <w:spacing w:line="360" w:lineRule="auto"/>
        <w:ind w:firstLineChars="0"/>
        <w:rPr>
          <w:rFonts w:ascii="宋体" w:hAnsi="宋体" w:eastAsia="宋体"/>
          <w:sz w:val="24"/>
          <w:szCs w:val="24"/>
        </w:rPr>
      </w:pPr>
      <w:r>
        <w:rPr>
          <w:rFonts w:hint="eastAsia" w:ascii="宋体" w:hAnsi="宋体" w:eastAsia="宋体"/>
          <w:sz w:val="24"/>
          <w:szCs w:val="24"/>
        </w:rPr>
        <w:t>说明特定的治疗或程序可能对受试者存在目前无法预见的风险。</w:t>
      </w:r>
    </w:p>
    <w:p>
      <w:pPr>
        <w:pStyle w:val="6"/>
        <w:numPr>
          <w:ilvl w:val="0"/>
          <w:numId w:val="31"/>
        </w:numPr>
        <w:spacing w:line="360" w:lineRule="auto"/>
        <w:ind w:firstLineChars="0"/>
        <w:rPr>
          <w:rFonts w:ascii="宋体" w:hAnsi="宋体" w:eastAsia="宋体"/>
          <w:sz w:val="24"/>
          <w:szCs w:val="24"/>
        </w:rPr>
      </w:pPr>
      <w:r>
        <w:rPr>
          <w:rFonts w:hint="eastAsia" w:ascii="宋体" w:hAnsi="宋体" w:eastAsia="宋体"/>
          <w:sz w:val="24"/>
          <w:szCs w:val="24"/>
        </w:rPr>
        <w:t>说明受试者怀孕或可能怀孕，特定的治疗或程序可能对胚胎或胎儿存在目前无法预见的风险。</w:t>
      </w:r>
    </w:p>
    <w:p>
      <w:pPr>
        <w:pStyle w:val="6"/>
        <w:numPr>
          <w:ilvl w:val="0"/>
          <w:numId w:val="31"/>
        </w:numPr>
        <w:spacing w:line="360" w:lineRule="auto"/>
        <w:ind w:firstLineChars="0"/>
        <w:rPr>
          <w:rFonts w:ascii="宋体" w:hAnsi="宋体" w:eastAsia="宋体"/>
          <w:sz w:val="24"/>
          <w:szCs w:val="24"/>
        </w:rPr>
      </w:pPr>
      <w:r>
        <w:rPr>
          <w:rFonts w:hint="eastAsia" w:ascii="宋体" w:hAnsi="宋体" w:eastAsia="宋体"/>
          <w:sz w:val="24"/>
          <w:szCs w:val="24"/>
        </w:rPr>
        <w:t>预期在什么情况下，研究者可以不经受试者同意，提前终止受试者参与研究。</w:t>
      </w:r>
    </w:p>
    <w:p>
      <w:pPr>
        <w:pStyle w:val="6"/>
        <w:numPr>
          <w:ilvl w:val="0"/>
          <w:numId w:val="31"/>
        </w:numPr>
        <w:spacing w:line="360" w:lineRule="auto"/>
        <w:ind w:firstLineChars="0"/>
        <w:rPr>
          <w:rFonts w:ascii="宋体" w:hAnsi="宋体" w:eastAsia="宋体"/>
          <w:sz w:val="24"/>
          <w:szCs w:val="24"/>
        </w:rPr>
      </w:pPr>
      <w:r>
        <w:rPr>
          <w:rFonts w:hint="eastAsia" w:ascii="宋体" w:hAnsi="宋体" w:eastAsia="宋体"/>
          <w:sz w:val="24"/>
          <w:szCs w:val="24"/>
        </w:rPr>
        <w:t>受试者参加研究可能产生的任何额外费用。</w:t>
      </w:r>
    </w:p>
    <w:p>
      <w:pPr>
        <w:pStyle w:val="6"/>
        <w:numPr>
          <w:ilvl w:val="0"/>
          <w:numId w:val="31"/>
        </w:numPr>
        <w:spacing w:line="360" w:lineRule="auto"/>
        <w:ind w:firstLineChars="0"/>
        <w:rPr>
          <w:rFonts w:ascii="宋体" w:hAnsi="宋体" w:eastAsia="宋体"/>
          <w:sz w:val="24"/>
          <w:szCs w:val="24"/>
        </w:rPr>
      </w:pPr>
      <w:r>
        <w:rPr>
          <w:rFonts w:hint="eastAsia" w:ascii="宋体" w:hAnsi="宋体" w:eastAsia="宋体"/>
          <w:sz w:val="24"/>
          <w:szCs w:val="24"/>
        </w:rPr>
        <w:t>受试者决定退出研究的后果。</w:t>
      </w:r>
    </w:p>
    <w:p>
      <w:pPr>
        <w:pStyle w:val="6"/>
        <w:numPr>
          <w:ilvl w:val="0"/>
          <w:numId w:val="31"/>
        </w:numPr>
        <w:spacing w:line="360" w:lineRule="auto"/>
        <w:ind w:firstLineChars="0"/>
        <w:rPr>
          <w:rFonts w:ascii="宋体" w:hAnsi="宋体" w:eastAsia="宋体"/>
          <w:sz w:val="24"/>
          <w:szCs w:val="24"/>
        </w:rPr>
      </w:pPr>
      <w:r>
        <w:rPr>
          <w:rFonts w:hint="eastAsia" w:ascii="宋体" w:hAnsi="宋体" w:eastAsia="宋体"/>
          <w:sz w:val="24"/>
          <w:szCs w:val="24"/>
        </w:rPr>
        <w:t>有序终止受试者参与研究的程序。</w:t>
      </w:r>
    </w:p>
    <w:p>
      <w:pPr>
        <w:pStyle w:val="6"/>
        <w:numPr>
          <w:ilvl w:val="0"/>
          <w:numId w:val="31"/>
        </w:numPr>
        <w:spacing w:line="360" w:lineRule="auto"/>
        <w:ind w:firstLineChars="0"/>
        <w:rPr>
          <w:rFonts w:ascii="宋体" w:hAnsi="宋体" w:eastAsia="宋体"/>
          <w:sz w:val="24"/>
          <w:szCs w:val="24"/>
        </w:rPr>
      </w:pPr>
      <w:r>
        <w:rPr>
          <w:rFonts w:hint="eastAsia" w:ascii="宋体" w:hAnsi="宋体" w:eastAsia="宋体"/>
          <w:sz w:val="24"/>
          <w:szCs w:val="24"/>
        </w:rPr>
        <w:t>说明研究期间发现可能与受试者继续参与研究意愿有关的重要新发现，将提供给受试者。</w:t>
      </w:r>
    </w:p>
    <w:p>
      <w:pPr>
        <w:pStyle w:val="6"/>
        <w:numPr>
          <w:ilvl w:val="0"/>
          <w:numId w:val="31"/>
        </w:numPr>
        <w:spacing w:line="360" w:lineRule="auto"/>
        <w:ind w:firstLineChars="0"/>
        <w:rPr>
          <w:rFonts w:ascii="宋体" w:hAnsi="宋体" w:eastAsia="宋体"/>
          <w:sz w:val="24"/>
          <w:szCs w:val="24"/>
        </w:rPr>
      </w:pPr>
      <w:r>
        <w:rPr>
          <w:rFonts w:ascii="宋体" w:hAnsi="宋体" w:eastAsia="宋体"/>
          <w:sz w:val="24"/>
          <w:szCs w:val="24"/>
        </w:rPr>
        <w:t>参与研究的受试者的大概人数。</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支付给受试者所有补偿的数额和按比例支付的计划。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信息手册：应当向每位潜在受试者提供一份可随身携带的书面信息手册。手册的措辞应当简洁明了，受试者易于理解，内容不超过两个或三个页面。手册的信息包括（但不限于）：研究目的，方法，资金来源，可能的利益冲突，研究人员的机构隶属关系，研究的预期获益和潜在风险，以及可能产生的不适，研究后的医疗安排的可及性，以及研究的其他相关方面（参见知情同意文件提供的信息）。信息手册应当获得伦理委员会审查同意，但不需要受试者或其监护人签署。</w:t>
      </w:r>
    </w:p>
    <w:p>
      <w:pPr>
        <w:spacing w:line="360" w:lineRule="auto"/>
        <w:ind w:firstLine="482" w:firstLineChars="200"/>
        <w:rPr>
          <w:rFonts w:ascii="宋体" w:hAnsi="宋体" w:eastAsia="宋体"/>
          <w:sz w:val="24"/>
          <w:szCs w:val="24"/>
        </w:rPr>
      </w:pPr>
      <w:r>
        <w:rPr>
          <w:rFonts w:ascii="宋体" w:hAnsi="宋体" w:eastAsia="宋体"/>
          <w:b/>
          <w:bCs/>
          <w:sz w:val="24"/>
          <w:szCs w:val="24"/>
        </w:rPr>
        <w:t>2.2</w:t>
      </w:r>
      <w:r>
        <w:rPr>
          <w:rFonts w:ascii="宋体" w:hAnsi="宋体" w:eastAsia="宋体"/>
          <w:sz w:val="24"/>
          <w:szCs w:val="24"/>
        </w:rPr>
        <w:t xml:space="preserve"> 药物临床试验：知情同意文件也可以按照GCP的规定，提供以下信息：</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临床试验的研究性质。</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试验目的。</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试验治疗和随机分配至各组的可能性。</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受试者需要遵守的试验步骤，包括创伤性医疗操作。</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受试者的义务。</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临床试验所涉及试验性的内容。</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试验可能致受试者的风险或者不便，影响胚胎、胎儿或者哺乳婴儿的风险。</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试验预期的获益，以及不能获益的可能性。</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其他可选的药物和治疗方法，及其重要的潜在获益和风险。</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受试者发生与试验相关的损害时，可获得补偿以及治疗。</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受试者参加临床试验可能获得的补偿，按比例支付的计划。</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受试者参加临床试验预期的费用。</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受试者参加试验是自愿的，可以拒绝参加或者有权在试验任何阶段随时退出试验而不会遭到歧视或者报复，其医疗待遇与权益不会受到影响。</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在不违反保密原则和相关法规的情况下，监查员、稽查员、伦理委员会和药品监督管理部门检查人员可以查阅受试者的原始医学记录，以核实临床试验的过程和数据。受试者签署知情同意书即授权此类直接查阅。</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受试者相关身份鉴别记录的保密事宜，不公开使用。如果发布临床试验结果，受试者的身份信息仍保密。</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有新的可能影响受试者继续参加试验的信息时，将及时告知受试者或者其监护人。</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当存在有关试验信息和受试者权益的问题，以及发生试验相关损害时，受试者可联系的研究者和伦理委员会及其联系方式。</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受试者可能被终止试验的情况以及理由。</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受试者参加试验的预期持续时间。</w:t>
      </w:r>
    </w:p>
    <w:p>
      <w:pPr>
        <w:pStyle w:val="6"/>
        <w:numPr>
          <w:ilvl w:val="0"/>
          <w:numId w:val="32"/>
        </w:numPr>
        <w:spacing w:line="360" w:lineRule="auto"/>
        <w:ind w:firstLineChars="0"/>
        <w:rPr>
          <w:rFonts w:ascii="宋体" w:hAnsi="宋体" w:eastAsia="宋体"/>
          <w:sz w:val="24"/>
          <w:szCs w:val="24"/>
        </w:rPr>
      </w:pPr>
      <w:r>
        <w:rPr>
          <w:rFonts w:hint="eastAsia" w:ascii="宋体" w:hAnsi="宋体" w:eastAsia="宋体"/>
          <w:sz w:val="24"/>
          <w:szCs w:val="24"/>
        </w:rPr>
        <w:t>参加该试验的预计受试者人数。</w:t>
      </w:r>
    </w:p>
    <w:p>
      <w:pPr>
        <w:spacing w:line="360" w:lineRule="auto"/>
        <w:ind w:left="480"/>
        <w:rPr>
          <w:rFonts w:ascii="宋体" w:hAnsi="宋体" w:eastAsia="宋体"/>
          <w:sz w:val="24"/>
          <w:szCs w:val="24"/>
        </w:rPr>
      </w:pPr>
      <w:r>
        <w:rPr>
          <w:rFonts w:hint="eastAsia" w:ascii="宋体" w:hAnsi="宋体" w:eastAsia="宋体"/>
          <w:sz w:val="24"/>
          <w:szCs w:val="24"/>
        </w:rPr>
        <w:t>药物临床试验知情同意文件提供的信息，还应当符合</w:t>
      </w:r>
      <w:r>
        <w:rPr>
          <w:rFonts w:ascii="宋体" w:hAnsi="宋体" w:eastAsia="宋体"/>
          <w:sz w:val="24"/>
          <w:szCs w:val="24"/>
        </w:rPr>
        <w:t>GCP的以下要求：</w:t>
      </w:r>
    </w:p>
    <w:p>
      <w:pPr>
        <w:pStyle w:val="6"/>
        <w:numPr>
          <w:ilvl w:val="0"/>
          <w:numId w:val="33"/>
        </w:numPr>
        <w:spacing w:line="360" w:lineRule="auto"/>
        <w:ind w:firstLineChars="0"/>
        <w:rPr>
          <w:rFonts w:ascii="宋体" w:hAnsi="宋体" w:eastAsia="宋体"/>
          <w:sz w:val="24"/>
          <w:szCs w:val="24"/>
        </w:rPr>
      </w:pPr>
      <w:r>
        <w:rPr>
          <w:rFonts w:hint="eastAsia" w:ascii="宋体" w:hAnsi="宋体" w:eastAsia="宋体"/>
          <w:sz w:val="24"/>
          <w:szCs w:val="24"/>
        </w:rPr>
        <w:t>伦理委员会同意研究的意见。</w:t>
      </w:r>
    </w:p>
    <w:p>
      <w:pPr>
        <w:pStyle w:val="6"/>
        <w:numPr>
          <w:ilvl w:val="0"/>
          <w:numId w:val="33"/>
        </w:numPr>
        <w:spacing w:line="360" w:lineRule="auto"/>
        <w:ind w:firstLineChars="0"/>
        <w:rPr>
          <w:rFonts w:ascii="宋体" w:hAnsi="宋体" w:eastAsia="宋体"/>
          <w:sz w:val="24"/>
          <w:szCs w:val="24"/>
        </w:rPr>
      </w:pPr>
      <w:r>
        <w:rPr>
          <w:rFonts w:hint="eastAsia" w:ascii="宋体" w:hAnsi="宋体" w:eastAsia="宋体"/>
          <w:sz w:val="24"/>
          <w:szCs w:val="24"/>
        </w:rPr>
        <w:t>不包含任何使受试者或其监护人放弃或似乎放弃其合法权利的语言。</w:t>
      </w:r>
    </w:p>
    <w:p>
      <w:pPr>
        <w:pStyle w:val="6"/>
        <w:numPr>
          <w:ilvl w:val="0"/>
          <w:numId w:val="33"/>
        </w:numPr>
        <w:spacing w:line="360" w:lineRule="auto"/>
        <w:ind w:firstLineChars="0"/>
        <w:rPr>
          <w:rFonts w:ascii="宋体" w:hAnsi="宋体" w:eastAsia="宋体"/>
          <w:sz w:val="24"/>
          <w:szCs w:val="24"/>
        </w:rPr>
      </w:pPr>
      <w:r>
        <w:rPr>
          <w:rFonts w:hint="eastAsia" w:ascii="宋体" w:hAnsi="宋体" w:eastAsia="宋体"/>
          <w:sz w:val="24"/>
          <w:szCs w:val="24"/>
        </w:rPr>
        <w:t>没有豁免或似乎豁免研究者／机构、申办者或其代理人的过失责任的语言。</w:t>
      </w:r>
    </w:p>
    <w:p>
      <w:pPr>
        <w:spacing w:line="360" w:lineRule="auto"/>
        <w:ind w:firstLine="482" w:firstLineChars="200"/>
        <w:rPr>
          <w:rFonts w:ascii="宋体" w:hAnsi="宋体" w:eastAsia="宋体"/>
          <w:sz w:val="24"/>
          <w:szCs w:val="24"/>
        </w:rPr>
      </w:pPr>
      <w:r>
        <w:rPr>
          <w:rFonts w:ascii="宋体" w:hAnsi="宋体" w:eastAsia="宋体"/>
          <w:b/>
          <w:bCs/>
          <w:sz w:val="24"/>
          <w:szCs w:val="24"/>
        </w:rPr>
        <w:t>2.3</w:t>
      </w:r>
      <w:r>
        <w:rPr>
          <w:rFonts w:ascii="宋体" w:hAnsi="宋体" w:eastAsia="宋体"/>
          <w:sz w:val="24"/>
          <w:szCs w:val="24"/>
        </w:rPr>
        <w:t xml:space="preserve"> 可识别的数据和生物标本的存储、维护和二次研究使用的泛知情同意</w:t>
      </w:r>
    </w:p>
    <w:p>
      <w:pPr>
        <w:spacing w:line="360" w:lineRule="auto"/>
        <w:ind w:firstLine="482" w:firstLineChars="200"/>
        <w:rPr>
          <w:rFonts w:ascii="宋体" w:hAnsi="宋体" w:eastAsia="宋体"/>
          <w:sz w:val="24"/>
          <w:szCs w:val="24"/>
        </w:rPr>
      </w:pPr>
      <w:r>
        <w:rPr>
          <w:rFonts w:ascii="宋体" w:hAnsi="宋体" w:eastAsia="宋体"/>
          <w:b/>
          <w:bCs/>
          <w:sz w:val="24"/>
          <w:szCs w:val="24"/>
        </w:rPr>
        <w:t xml:space="preserve">2.3.1 </w:t>
      </w:r>
      <w:r>
        <w:rPr>
          <w:rFonts w:ascii="宋体" w:hAnsi="宋体" w:eastAsia="宋体"/>
          <w:sz w:val="24"/>
          <w:szCs w:val="24"/>
        </w:rPr>
        <w:t>泛知情同意的适用范围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泛知情同意适用于以下使用可识别身份的生物材料或医疗数据的研究：</w:t>
      </w:r>
    </w:p>
    <w:p>
      <w:pPr>
        <w:pStyle w:val="6"/>
        <w:numPr>
          <w:ilvl w:val="0"/>
          <w:numId w:val="34"/>
        </w:numPr>
        <w:spacing w:line="360" w:lineRule="auto"/>
        <w:ind w:firstLineChars="0"/>
        <w:rPr>
          <w:rFonts w:ascii="宋体" w:hAnsi="宋体" w:eastAsia="宋体"/>
          <w:sz w:val="24"/>
          <w:szCs w:val="24"/>
        </w:rPr>
      </w:pPr>
      <w:r>
        <w:rPr>
          <w:rFonts w:hint="eastAsia" w:ascii="宋体" w:hAnsi="宋体" w:eastAsia="宋体"/>
          <w:sz w:val="24"/>
          <w:szCs w:val="24"/>
        </w:rPr>
        <w:t>为未来的研究采集和储存人体的生物材料及相关数据，但特定用途尚不明确。</w:t>
      </w:r>
    </w:p>
    <w:p>
      <w:pPr>
        <w:pStyle w:val="6"/>
        <w:numPr>
          <w:ilvl w:val="0"/>
          <w:numId w:val="34"/>
        </w:numPr>
        <w:spacing w:line="360" w:lineRule="auto"/>
        <w:ind w:firstLineChars="0"/>
        <w:rPr>
          <w:rFonts w:ascii="宋体" w:hAnsi="宋体" w:eastAsia="宋体"/>
          <w:sz w:val="24"/>
          <w:szCs w:val="24"/>
        </w:rPr>
      </w:pPr>
      <w:r>
        <w:rPr>
          <w:rFonts w:hint="eastAsia" w:ascii="宋体" w:hAnsi="宋体" w:eastAsia="宋体"/>
          <w:sz w:val="24"/>
          <w:szCs w:val="24"/>
        </w:rPr>
        <w:t>为未来的研究采集和储存可识别身份的医疗数据，但特定用途尚不明确。</w:t>
      </w:r>
    </w:p>
    <w:p>
      <w:pPr>
        <w:pStyle w:val="6"/>
        <w:numPr>
          <w:ilvl w:val="0"/>
          <w:numId w:val="34"/>
        </w:numPr>
        <w:spacing w:line="360" w:lineRule="auto"/>
        <w:ind w:firstLineChars="0"/>
        <w:rPr>
          <w:rFonts w:ascii="宋体" w:hAnsi="宋体" w:eastAsia="宋体"/>
          <w:sz w:val="24"/>
          <w:szCs w:val="24"/>
        </w:rPr>
      </w:pPr>
      <w:r>
        <w:rPr>
          <w:rFonts w:hint="eastAsia" w:ascii="宋体" w:hAnsi="宋体" w:eastAsia="宋体"/>
          <w:sz w:val="24"/>
          <w:szCs w:val="24"/>
        </w:rPr>
        <w:t>收集、储存研究剩余的人体生物材料，用于特定用途尚不明确的未来研究。</w:t>
      </w:r>
    </w:p>
    <w:p>
      <w:pPr>
        <w:pStyle w:val="6"/>
        <w:numPr>
          <w:ilvl w:val="0"/>
          <w:numId w:val="34"/>
        </w:numPr>
        <w:spacing w:line="360" w:lineRule="auto"/>
        <w:ind w:firstLineChars="0"/>
        <w:rPr>
          <w:rFonts w:ascii="宋体" w:hAnsi="宋体" w:eastAsia="宋体"/>
          <w:sz w:val="24"/>
          <w:szCs w:val="24"/>
        </w:rPr>
      </w:pPr>
      <w:r>
        <w:rPr>
          <w:rFonts w:hint="eastAsia" w:ascii="宋体" w:hAnsi="宋体" w:eastAsia="宋体"/>
          <w:sz w:val="24"/>
          <w:szCs w:val="24"/>
        </w:rPr>
        <w:t>收集、储存临床诊疗过程中剩余的人体生物材料及相关数据，用于特定用途尚不明确的未来研究。</w:t>
      </w:r>
    </w:p>
    <w:p>
      <w:pPr>
        <w:pStyle w:val="6"/>
        <w:numPr>
          <w:ilvl w:val="0"/>
          <w:numId w:val="34"/>
        </w:numPr>
        <w:spacing w:line="360" w:lineRule="auto"/>
        <w:ind w:firstLineChars="0"/>
        <w:rPr>
          <w:rFonts w:ascii="宋体" w:hAnsi="宋体" w:eastAsia="宋体"/>
          <w:sz w:val="24"/>
          <w:szCs w:val="24"/>
        </w:rPr>
      </w:pPr>
      <w:r>
        <w:rPr>
          <w:rFonts w:hint="eastAsia" w:ascii="宋体" w:hAnsi="宋体" w:eastAsia="宋体"/>
          <w:sz w:val="24"/>
          <w:szCs w:val="24"/>
        </w:rPr>
        <w:t>收集、储存临床诊疗过程中产生的医疗数据，包括电子病历、影像学资料和临床各类检验检查数据，用于特定用途尚不明确的未来研究。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采集或收集、储存可识别身份的生物材料或医疗数据时，已经明确材料和数据的特定用途的研究项目，应采用特定的知情同意，不适用泛知情同意。</w:t>
      </w:r>
    </w:p>
    <w:p>
      <w:pPr>
        <w:spacing w:line="360" w:lineRule="auto"/>
        <w:ind w:firstLine="482" w:firstLineChars="200"/>
        <w:rPr>
          <w:rFonts w:ascii="宋体" w:hAnsi="宋体" w:eastAsia="宋体"/>
          <w:sz w:val="24"/>
          <w:szCs w:val="24"/>
        </w:rPr>
      </w:pPr>
      <w:r>
        <w:rPr>
          <w:rFonts w:ascii="宋体" w:hAnsi="宋体" w:eastAsia="宋体"/>
          <w:b/>
          <w:bCs/>
          <w:sz w:val="24"/>
          <w:szCs w:val="24"/>
        </w:rPr>
        <w:t>2.3.2</w:t>
      </w:r>
      <w:r>
        <w:rPr>
          <w:rFonts w:ascii="宋体" w:hAnsi="宋体" w:eastAsia="宋体"/>
          <w:sz w:val="24"/>
          <w:szCs w:val="24"/>
        </w:rPr>
        <w:t xml:space="preserve"> 组织机构的治理体系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收集和储存生物材料或研究数据，组织机构应当建立一套适当的治理体系，以便为未来的研究使用这些材料或数据获得授权。泛知情同意的伦理可接受性，依赖于组织机构适当的治理体系。组织机构的治理体系应当至少对以下事项进行监管：</w:t>
      </w:r>
    </w:p>
    <w:p>
      <w:pPr>
        <w:pStyle w:val="6"/>
        <w:numPr>
          <w:ilvl w:val="0"/>
          <w:numId w:val="35"/>
        </w:numPr>
        <w:spacing w:line="360" w:lineRule="auto"/>
        <w:ind w:firstLineChars="0"/>
        <w:rPr>
          <w:rFonts w:ascii="宋体" w:hAnsi="宋体" w:eastAsia="宋体"/>
          <w:sz w:val="24"/>
          <w:szCs w:val="24"/>
        </w:rPr>
      </w:pPr>
      <w:r>
        <w:rPr>
          <w:rFonts w:ascii="宋体" w:hAnsi="宋体" w:eastAsia="宋体"/>
          <w:sz w:val="24"/>
          <w:szCs w:val="24"/>
        </w:rPr>
        <w:t>生物标本／数据委托给哪个法人实体。</w:t>
      </w:r>
    </w:p>
    <w:p>
      <w:pPr>
        <w:pStyle w:val="6"/>
        <w:numPr>
          <w:ilvl w:val="0"/>
          <w:numId w:val="35"/>
        </w:numPr>
        <w:spacing w:line="360" w:lineRule="auto"/>
        <w:ind w:firstLineChars="0"/>
        <w:rPr>
          <w:rFonts w:ascii="宋体" w:hAnsi="宋体" w:eastAsia="宋体"/>
          <w:sz w:val="24"/>
          <w:szCs w:val="24"/>
        </w:rPr>
      </w:pPr>
      <w:r>
        <w:rPr>
          <w:rFonts w:hint="eastAsia" w:ascii="宋体" w:hAnsi="宋体" w:eastAsia="宋体"/>
          <w:sz w:val="24"/>
          <w:szCs w:val="24"/>
        </w:rPr>
        <w:t>如何获得捐赠者的授权。</w:t>
      </w:r>
    </w:p>
    <w:p>
      <w:pPr>
        <w:pStyle w:val="6"/>
        <w:numPr>
          <w:ilvl w:val="0"/>
          <w:numId w:val="35"/>
        </w:numPr>
        <w:spacing w:line="360" w:lineRule="auto"/>
        <w:ind w:firstLineChars="0"/>
        <w:rPr>
          <w:rFonts w:ascii="宋体" w:hAnsi="宋体" w:eastAsia="宋体"/>
          <w:sz w:val="24"/>
          <w:szCs w:val="24"/>
        </w:rPr>
      </w:pPr>
      <w:r>
        <w:rPr>
          <w:rFonts w:hint="eastAsia" w:ascii="宋体" w:hAnsi="宋体" w:eastAsia="宋体"/>
          <w:sz w:val="24"/>
          <w:szCs w:val="24"/>
        </w:rPr>
        <w:t>捐赠者如何能够撤回授权。</w:t>
      </w:r>
    </w:p>
    <w:p>
      <w:pPr>
        <w:pStyle w:val="6"/>
        <w:numPr>
          <w:ilvl w:val="0"/>
          <w:numId w:val="35"/>
        </w:numPr>
        <w:spacing w:line="360" w:lineRule="auto"/>
        <w:ind w:firstLineChars="0"/>
        <w:rPr>
          <w:rFonts w:ascii="宋体" w:hAnsi="宋体" w:eastAsia="宋体"/>
          <w:sz w:val="24"/>
          <w:szCs w:val="24"/>
        </w:rPr>
      </w:pPr>
      <w:r>
        <w:rPr>
          <w:rFonts w:hint="eastAsia" w:ascii="宋体" w:hAnsi="宋体" w:eastAsia="宋体"/>
          <w:sz w:val="24"/>
          <w:szCs w:val="24"/>
        </w:rPr>
        <w:t>在哪些情况下需要重新联系捐赠者。</w:t>
      </w:r>
    </w:p>
    <w:p>
      <w:pPr>
        <w:pStyle w:val="6"/>
        <w:numPr>
          <w:ilvl w:val="0"/>
          <w:numId w:val="35"/>
        </w:numPr>
        <w:spacing w:line="360" w:lineRule="auto"/>
        <w:ind w:firstLineChars="0"/>
        <w:rPr>
          <w:rFonts w:ascii="宋体" w:hAnsi="宋体" w:eastAsia="宋体"/>
          <w:sz w:val="24"/>
          <w:szCs w:val="24"/>
        </w:rPr>
      </w:pPr>
      <w:r>
        <w:rPr>
          <w:rFonts w:hint="eastAsia" w:ascii="宋体" w:hAnsi="宋体" w:eastAsia="宋体"/>
          <w:sz w:val="24"/>
          <w:szCs w:val="24"/>
        </w:rPr>
        <w:t>要有程序来确定，是否应披露（捐赠者）未要求反馈的研究发现，如果应该披露，如何实施。</w:t>
      </w:r>
    </w:p>
    <w:p>
      <w:pPr>
        <w:pStyle w:val="6"/>
        <w:numPr>
          <w:ilvl w:val="0"/>
          <w:numId w:val="35"/>
        </w:numPr>
        <w:spacing w:line="360" w:lineRule="auto"/>
        <w:ind w:firstLineChars="0"/>
        <w:rPr>
          <w:rFonts w:ascii="宋体" w:hAnsi="宋体" w:eastAsia="宋体"/>
          <w:sz w:val="24"/>
          <w:szCs w:val="24"/>
        </w:rPr>
      </w:pPr>
      <w:r>
        <w:rPr>
          <w:rFonts w:hint="eastAsia" w:ascii="宋体" w:hAnsi="宋体" w:eastAsia="宋体"/>
          <w:sz w:val="24"/>
          <w:szCs w:val="24"/>
        </w:rPr>
        <w:t>如何控制生物标本／数据的质量。</w:t>
      </w:r>
    </w:p>
    <w:p>
      <w:pPr>
        <w:pStyle w:val="6"/>
        <w:numPr>
          <w:ilvl w:val="0"/>
          <w:numId w:val="35"/>
        </w:numPr>
        <w:spacing w:line="360" w:lineRule="auto"/>
        <w:ind w:firstLineChars="0"/>
        <w:rPr>
          <w:rFonts w:ascii="宋体" w:hAnsi="宋体" w:eastAsia="宋体"/>
          <w:sz w:val="24"/>
          <w:szCs w:val="24"/>
        </w:rPr>
      </w:pPr>
      <w:r>
        <w:rPr>
          <w:rFonts w:hint="eastAsia" w:ascii="宋体" w:hAnsi="宋体" w:eastAsia="宋体"/>
          <w:sz w:val="24"/>
          <w:szCs w:val="24"/>
        </w:rPr>
        <w:t>对生物标本／数据与捐赠者个人身份识别信息之间的联系，如何保密。</w:t>
      </w:r>
    </w:p>
    <w:p>
      <w:pPr>
        <w:pStyle w:val="6"/>
        <w:numPr>
          <w:ilvl w:val="0"/>
          <w:numId w:val="35"/>
        </w:numPr>
        <w:spacing w:line="360" w:lineRule="auto"/>
        <w:ind w:firstLineChars="0"/>
        <w:rPr>
          <w:rFonts w:ascii="宋体" w:hAnsi="宋体" w:eastAsia="宋体"/>
          <w:sz w:val="24"/>
          <w:szCs w:val="24"/>
        </w:rPr>
      </w:pPr>
      <w:r>
        <w:rPr>
          <w:rFonts w:hint="eastAsia" w:ascii="宋体" w:hAnsi="宋体" w:eastAsia="宋体"/>
          <w:sz w:val="24"/>
          <w:szCs w:val="24"/>
        </w:rPr>
        <w:t>谁、以及在什么情况下可以获取生物标本／数据用于未来的研究。</w:t>
      </w:r>
    </w:p>
    <w:p>
      <w:pPr>
        <w:pStyle w:val="6"/>
        <w:numPr>
          <w:ilvl w:val="0"/>
          <w:numId w:val="35"/>
        </w:numPr>
        <w:spacing w:line="360" w:lineRule="auto"/>
        <w:ind w:firstLineChars="0"/>
        <w:rPr>
          <w:rFonts w:ascii="宋体" w:hAnsi="宋体" w:eastAsia="宋体"/>
          <w:sz w:val="24"/>
          <w:szCs w:val="24"/>
        </w:rPr>
      </w:pPr>
      <w:r>
        <w:rPr>
          <w:rFonts w:hint="eastAsia" w:ascii="宋体" w:hAnsi="宋体" w:eastAsia="宋体"/>
          <w:sz w:val="24"/>
          <w:szCs w:val="24"/>
        </w:rPr>
        <w:t>哪个团体对未来使用生物标本／数据的研究方案进行审查。</w:t>
      </w:r>
    </w:p>
    <w:p>
      <w:pPr>
        <w:pStyle w:val="6"/>
        <w:numPr>
          <w:ilvl w:val="0"/>
          <w:numId w:val="36"/>
        </w:numPr>
        <w:spacing w:line="360" w:lineRule="auto"/>
        <w:ind w:firstLineChars="0"/>
        <w:rPr>
          <w:rFonts w:ascii="宋体" w:hAnsi="宋体" w:eastAsia="宋体"/>
          <w:sz w:val="24"/>
          <w:szCs w:val="24"/>
        </w:rPr>
      </w:pPr>
      <w:r>
        <w:rPr>
          <w:rFonts w:hint="eastAsia" w:ascii="宋体" w:hAnsi="宋体" w:eastAsia="宋体"/>
          <w:sz w:val="24"/>
          <w:szCs w:val="24"/>
        </w:rPr>
        <w:t>向捐赠者告知研究结果的适当机制。</w:t>
      </w:r>
    </w:p>
    <w:p>
      <w:pPr>
        <w:pStyle w:val="6"/>
        <w:numPr>
          <w:ilvl w:val="0"/>
          <w:numId w:val="36"/>
        </w:numPr>
        <w:spacing w:line="360" w:lineRule="auto"/>
        <w:ind w:firstLineChars="0"/>
        <w:rPr>
          <w:rFonts w:ascii="宋体" w:hAnsi="宋体" w:eastAsia="宋体"/>
          <w:sz w:val="24"/>
          <w:szCs w:val="24"/>
        </w:rPr>
      </w:pPr>
      <w:r>
        <w:rPr>
          <w:rFonts w:hint="eastAsia" w:ascii="宋体" w:hAnsi="宋体" w:eastAsia="宋体"/>
          <w:sz w:val="24"/>
          <w:szCs w:val="24"/>
        </w:rPr>
        <w:t>如何组织患者群体或范围更广的社区参与其中。</w:t>
      </w:r>
    </w:p>
    <w:p>
      <w:pPr>
        <w:pStyle w:val="6"/>
        <w:numPr>
          <w:ilvl w:val="0"/>
          <w:numId w:val="36"/>
        </w:numPr>
        <w:spacing w:line="360" w:lineRule="auto"/>
        <w:ind w:firstLineChars="0"/>
        <w:rPr>
          <w:rFonts w:ascii="宋体" w:hAnsi="宋体" w:eastAsia="宋体"/>
          <w:sz w:val="24"/>
          <w:szCs w:val="24"/>
        </w:rPr>
      </w:pPr>
      <w:r>
        <w:rPr>
          <w:rFonts w:hint="eastAsia" w:ascii="宋体" w:hAnsi="宋体" w:eastAsia="宋体"/>
          <w:sz w:val="24"/>
          <w:szCs w:val="24"/>
        </w:rPr>
        <w:t>生物材料／数据分析的结果可能与个人信息的哪些来源相联系。</w:t>
      </w:r>
    </w:p>
    <w:p>
      <w:pPr>
        <w:pStyle w:val="6"/>
        <w:numPr>
          <w:ilvl w:val="0"/>
          <w:numId w:val="37"/>
        </w:numPr>
        <w:spacing w:line="360" w:lineRule="auto"/>
        <w:ind w:firstLineChars="0"/>
        <w:rPr>
          <w:rFonts w:ascii="宋体" w:hAnsi="宋体" w:eastAsia="宋体"/>
          <w:sz w:val="24"/>
          <w:szCs w:val="24"/>
        </w:rPr>
      </w:pPr>
      <w:r>
        <w:rPr>
          <w:rFonts w:hint="eastAsia" w:ascii="宋体" w:hAnsi="宋体" w:eastAsia="宋体"/>
          <w:sz w:val="24"/>
          <w:szCs w:val="24"/>
        </w:rPr>
        <w:t>从广义上讲，将进行哪些类型的研究。</w:t>
      </w:r>
    </w:p>
    <w:p>
      <w:pPr>
        <w:pStyle w:val="6"/>
        <w:numPr>
          <w:ilvl w:val="0"/>
          <w:numId w:val="37"/>
        </w:numPr>
        <w:spacing w:line="360" w:lineRule="auto"/>
        <w:ind w:firstLineChars="0"/>
        <w:rPr>
          <w:rFonts w:ascii="宋体" w:hAnsi="宋体" w:eastAsia="宋体"/>
          <w:sz w:val="24"/>
          <w:szCs w:val="24"/>
        </w:rPr>
      </w:pPr>
      <w:r>
        <w:rPr>
          <w:rFonts w:hint="eastAsia" w:ascii="宋体" w:hAnsi="宋体" w:eastAsia="宋体"/>
          <w:sz w:val="24"/>
          <w:szCs w:val="24"/>
        </w:rPr>
        <w:t>哪些类型的研究，只有在重新联系捐赠者征得同意后，才能排除在外或包括在内。</w:t>
      </w:r>
    </w:p>
    <w:p>
      <w:pPr>
        <w:pStyle w:val="6"/>
        <w:numPr>
          <w:ilvl w:val="0"/>
          <w:numId w:val="37"/>
        </w:numPr>
        <w:spacing w:line="360" w:lineRule="auto"/>
        <w:ind w:firstLineChars="0"/>
        <w:rPr>
          <w:rFonts w:ascii="宋体" w:hAnsi="宋体" w:eastAsia="宋体"/>
          <w:sz w:val="24"/>
          <w:szCs w:val="24"/>
        </w:rPr>
      </w:pPr>
      <w:r>
        <w:rPr>
          <w:rFonts w:hint="eastAsia" w:ascii="宋体" w:hAnsi="宋体" w:eastAsia="宋体"/>
          <w:sz w:val="24"/>
          <w:szCs w:val="24"/>
        </w:rPr>
        <w:t>谁将从研究中获益。</w:t>
      </w:r>
    </w:p>
    <w:p>
      <w:pPr>
        <w:pStyle w:val="6"/>
        <w:numPr>
          <w:ilvl w:val="0"/>
          <w:numId w:val="37"/>
        </w:numPr>
        <w:spacing w:line="360" w:lineRule="auto"/>
        <w:ind w:firstLineChars="0"/>
        <w:rPr>
          <w:rFonts w:ascii="宋体" w:hAnsi="宋体" w:eastAsia="宋体"/>
          <w:sz w:val="24"/>
          <w:szCs w:val="24"/>
        </w:rPr>
      </w:pPr>
      <w:r>
        <w:rPr>
          <w:rFonts w:hint="eastAsia" w:ascii="宋体" w:hAnsi="宋体" w:eastAsia="宋体"/>
          <w:sz w:val="24"/>
          <w:szCs w:val="24"/>
        </w:rPr>
        <w:t>向受试者告知研究结果的适当机制。</w:t>
      </w:r>
    </w:p>
    <w:p>
      <w:pPr>
        <w:pStyle w:val="6"/>
        <w:numPr>
          <w:ilvl w:val="0"/>
          <w:numId w:val="37"/>
        </w:numPr>
        <w:spacing w:line="360" w:lineRule="auto"/>
        <w:ind w:firstLineChars="0"/>
        <w:rPr>
          <w:rFonts w:ascii="宋体" w:hAnsi="宋体" w:eastAsia="宋体"/>
          <w:sz w:val="24"/>
          <w:szCs w:val="24"/>
        </w:rPr>
      </w:pPr>
      <w:r>
        <w:rPr>
          <w:rFonts w:hint="eastAsia" w:ascii="宋体" w:hAnsi="宋体" w:eastAsia="宋体"/>
          <w:sz w:val="24"/>
          <w:szCs w:val="24"/>
        </w:rPr>
        <w:t>如何确保生物标本／数据捐赠者的权利和福利不受损害。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生物标本／数据委托给哪个法人实体：例如，多中心的药物临床试验，由各研究中心采集的生物样本，储存在申办者指定的生物样本库，材料转移应符合我国人类遗传资源管理条例，并且研究中心应当与申办者签订人体生物材料转移协议。人体生物材料转移协议的要素包括：生物材料应该具有原始采集处的标记，能够以被检索的方式登记在案；规定使用期限和范围；在使用期限结束时生物材料状况和去向。材料转移协议中所涉内容的所有相关责任方都需要在协议中明确说明。</w:t>
      </w:r>
    </w:p>
    <w:p>
      <w:pPr>
        <w:spacing w:line="360" w:lineRule="auto"/>
        <w:ind w:firstLine="482" w:firstLineChars="200"/>
        <w:rPr>
          <w:rFonts w:ascii="宋体" w:hAnsi="宋体" w:eastAsia="宋体"/>
          <w:sz w:val="24"/>
          <w:szCs w:val="24"/>
        </w:rPr>
      </w:pPr>
      <w:r>
        <w:rPr>
          <w:rFonts w:ascii="宋体" w:hAnsi="宋体" w:eastAsia="宋体"/>
          <w:b/>
          <w:bCs/>
          <w:sz w:val="24"/>
          <w:szCs w:val="24"/>
        </w:rPr>
        <w:t>2.3.3</w:t>
      </w:r>
      <w:r>
        <w:rPr>
          <w:rFonts w:ascii="宋体" w:hAnsi="宋体" w:eastAsia="宋体"/>
          <w:sz w:val="24"/>
          <w:szCs w:val="24"/>
        </w:rPr>
        <w:t xml:space="preserve"> 泛知情同意文件提供的信息</w:t>
      </w:r>
    </w:p>
    <w:p>
      <w:pPr>
        <w:pStyle w:val="6"/>
        <w:numPr>
          <w:ilvl w:val="0"/>
          <w:numId w:val="38"/>
        </w:numPr>
        <w:spacing w:line="360" w:lineRule="auto"/>
        <w:ind w:firstLineChars="0"/>
        <w:rPr>
          <w:rFonts w:ascii="宋体" w:hAnsi="宋体" w:eastAsia="宋体"/>
          <w:sz w:val="24"/>
          <w:szCs w:val="24"/>
        </w:rPr>
      </w:pPr>
      <w:r>
        <w:rPr>
          <w:rFonts w:hint="eastAsia" w:ascii="宋体" w:hAnsi="宋体" w:eastAsia="宋体"/>
          <w:sz w:val="24"/>
          <w:szCs w:val="24"/>
        </w:rPr>
        <w:t>项目的研究性质。</w:t>
      </w:r>
    </w:p>
    <w:p>
      <w:pPr>
        <w:pStyle w:val="6"/>
        <w:numPr>
          <w:ilvl w:val="0"/>
          <w:numId w:val="38"/>
        </w:numPr>
        <w:spacing w:line="360" w:lineRule="auto"/>
        <w:ind w:firstLineChars="0"/>
        <w:rPr>
          <w:rFonts w:ascii="宋体" w:hAnsi="宋体" w:eastAsia="宋体"/>
          <w:sz w:val="24"/>
          <w:szCs w:val="24"/>
        </w:rPr>
      </w:pPr>
      <w:r>
        <w:rPr>
          <w:rFonts w:hint="eastAsia" w:ascii="宋体" w:hAnsi="宋体" w:eastAsia="宋体"/>
          <w:sz w:val="24"/>
          <w:szCs w:val="24"/>
        </w:rPr>
        <w:t>对捐献者任何合理预期的风险或不适（如果没有可省略）。</w:t>
      </w:r>
    </w:p>
    <w:p>
      <w:pPr>
        <w:pStyle w:val="6"/>
        <w:numPr>
          <w:ilvl w:val="0"/>
          <w:numId w:val="38"/>
        </w:numPr>
        <w:spacing w:line="360" w:lineRule="auto"/>
        <w:ind w:firstLineChars="0"/>
        <w:rPr>
          <w:rFonts w:ascii="宋体" w:hAnsi="宋体" w:eastAsia="宋体"/>
          <w:sz w:val="24"/>
          <w:szCs w:val="24"/>
        </w:rPr>
      </w:pPr>
      <w:r>
        <w:rPr>
          <w:rFonts w:hint="eastAsia" w:ascii="宋体" w:hAnsi="宋体" w:eastAsia="宋体"/>
          <w:sz w:val="24"/>
          <w:szCs w:val="24"/>
        </w:rPr>
        <w:t>研究对捐献者的或其他人的合理预期的获益（如果没有可省略）。</w:t>
      </w:r>
    </w:p>
    <w:p>
      <w:pPr>
        <w:pStyle w:val="6"/>
        <w:numPr>
          <w:ilvl w:val="0"/>
          <w:numId w:val="38"/>
        </w:numPr>
        <w:spacing w:line="360" w:lineRule="auto"/>
        <w:ind w:firstLineChars="0"/>
        <w:rPr>
          <w:rFonts w:ascii="宋体" w:hAnsi="宋体" w:eastAsia="宋体"/>
          <w:sz w:val="24"/>
          <w:szCs w:val="24"/>
        </w:rPr>
      </w:pPr>
      <w:r>
        <w:rPr>
          <w:rFonts w:hint="eastAsia" w:ascii="宋体" w:hAnsi="宋体" w:eastAsia="宋体"/>
          <w:sz w:val="24"/>
          <w:szCs w:val="24"/>
        </w:rPr>
        <w:t>生物样本库／数据库的目的。</w:t>
      </w:r>
    </w:p>
    <w:p>
      <w:pPr>
        <w:pStyle w:val="6"/>
        <w:numPr>
          <w:ilvl w:val="0"/>
          <w:numId w:val="38"/>
        </w:numPr>
        <w:spacing w:line="360" w:lineRule="auto"/>
        <w:ind w:firstLineChars="0"/>
        <w:rPr>
          <w:rFonts w:ascii="宋体" w:hAnsi="宋体" w:eastAsia="宋体"/>
          <w:sz w:val="24"/>
          <w:szCs w:val="24"/>
        </w:rPr>
      </w:pPr>
      <w:r>
        <w:rPr>
          <w:rFonts w:hint="eastAsia" w:ascii="宋体" w:hAnsi="宋体" w:eastAsia="宋体"/>
          <w:sz w:val="24"/>
          <w:szCs w:val="24"/>
        </w:rPr>
        <w:t>储存条件和期限（该期限可能不确定）。</w:t>
      </w:r>
    </w:p>
    <w:p>
      <w:pPr>
        <w:pStyle w:val="6"/>
        <w:numPr>
          <w:ilvl w:val="0"/>
          <w:numId w:val="39"/>
        </w:numPr>
        <w:spacing w:line="360" w:lineRule="auto"/>
        <w:ind w:firstLineChars="0"/>
        <w:rPr>
          <w:rFonts w:ascii="宋体" w:hAnsi="宋体" w:eastAsia="宋体"/>
          <w:sz w:val="24"/>
          <w:szCs w:val="24"/>
        </w:rPr>
      </w:pPr>
      <w:r>
        <w:rPr>
          <w:rFonts w:hint="eastAsia" w:ascii="宋体" w:hAnsi="宋体" w:eastAsia="宋体"/>
          <w:sz w:val="24"/>
          <w:szCs w:val="24"/>
        </w:rPr>
        <w:t>可能使用可识别的生物样本或数据开展研究的组织机构或研究者的类型。</w:t>
      </w:r>
    </w:p>
    <w:p>
      <w:pPr>
        <w:pStyle w:val="6"/>
        <w:numPr>
          <w:ilvl w:val="0"/>
          <w:numId w:val="39"/>
        </w:numPr>
        <w:spacing w:line="360" w:lineRule="auto"/>
        <w:ind w:firstLineChars="0"/>
        <w:rPr>
          <w:rFonts w:ascii="宋体" w:hAnsi="宋体" w:eastAsia="宋体"/>
          <w:sz w:val="24"/>
          <w:szCs w:val="24"/>
        </w:rPr>
      </w:pPr>
      <w:r>
        <w:rPr>
          <w:rFonts w:hint="eastAsia" w:ascii="宋体" w:hAnsi="宋体" w:eastAsia="宋体"/>
          <w:sz w:val="24"/>
          <w:szCs w:val="24"/>
        </w:rPr>
        <w:t>采取哪些保护机密的措施以及这些措施的局限性。</w:t>
      </w:r>
    </w:p>
    <w:p>
      <w:pPr>
        <w:pStyle w:val="6"/>
        <w:numPr>
          <w:ilvl w:val="0"/>
          <w:numId w:val="39"/>
        </w:numPr>
        <w:spacing w:line="360" w:lineRule="auto"/>
        <w:ind w:firstLineChars="0"/>
        <w:rPr>
          <w:rFonts w:ascii="宋体" w:hAnsi="宋体" w:eastAsia="宋体"/>
          <w:sz w:val="24"/>
          <w:szCs w:val="24"/>
        </w:rPr>
      </w:pPr>
      <w:r>
        <w:rPr>
          <w:rFonts w:hint="eastAsia" w:ascii="宋体" w:hAnsi="宋体" w:eastAsia="宋体"/>
          <w:sz w:val="24"/>
          <w:szCs w:val="24"/>
        </w:rPr>
        <w:t>捐献者参与试验是自愿的。</w:t>
      </w:r>
    </w:p>
    <w:p>
      <w:pPr>
        <w:pStyle w:val="6"/>
        <w:numPr>
          <w:ilvl w:val="0"/>
          <w:numId w:val="39"/>
        </w:numPr>
        <w:spacing w:line="360" w:lineRule="auto"/>
        <w:ind w:firstLineChars="0"/>
        <w:rPr>
          <w:rFonts w:ascii="宋体" w:hAnsi="宋体" w:eastAsia="宋体"/>
          <w:sz w:val="24"/>
          <w:szCs w:val="24"/>
        </w:rPr>
      </w:pPr>
      <w:r>
        <w:rPr>
          <w:rFonts w:hint="eastAsia" w:ascii="宋体" w:hAnsi="宋体" w:eastAsia="宋体"/>
          <w:sz w:val="24"/>
          <w:szCs w:val="24"/>
        </w:rPr>
        <w:t>捐献者拒绝参加研究不会因此受到歧视或报复、不会损失其应得利益。</w:t>
      </w:r>
    </w:p>
    <w:p>
      <w:pPr>
        <w:pStyle w:val="6"/>
        <w:numPr>
          <w:ilvl w:val="0"/>
          <w:numId w:val="39"/>
        </w:numPr>
        <w:spacing w:line="360" w:lineRule="auto"/>
        <w:ind w:firstLineChars="0"/>
        <w:rPr>
          <w:rFonts w:ascii="宋体" w:hAnsi="宋体" w:eastAsia="宋体"/>
          <w:sz w:val="24"/>
          <w:szCs w:val="24"/>
        </w:rPr>
      </w:pPr>
      <w:r>
        <w:rPr>
          <w:rFonts w:hint="eastAsia" w:ascii="宋体" w:hAnsi="宋体" w:eastAsia="宋体"/>
          <w:sz w:val="24"/>
          <w:szCs w:val="24"/>
        </w:rPr>
        <w:t>捐献者可以随时退出研究或撤回捐献而不会受到歧视或报复、不会损失其应得的利益。</w:t>
      </w:r>
    </w:p>
    <w:p>
      <w:pPr>
        <w:pStyle w:val="6"/>
        <w:numPr>
          <w:ilvl w:val="0"/>
          <w:numId w:val="39"/>
        </w:numPr>
        <w:spacing w:line="360" w:lineRule="auto"/>
        <w:ind w:firstLineChars="0"/>
        <w:rPr>
          <w:rFonts w:ascii="宋体" w:hAnsi="宋体" w:eastAsia="宋体"/>
          <w:sz w:val="24"/>
          <w:szCs w:val="24"/>
        </w:rPr>
      </w:pPr>
      <w:r>
        <w:rPr>
          <w:rFonts w:hint="eastAsia" w:ascii="宋体" w:hAnsi="宋体" w:eastAsia="宋体"/>
          <w:sz w:val="24"/>
          <w:szCs w:val="24"/>
        </w:rPr>
        <w:t>捐献者的生物样本（即使标识符已被移除）是否可能被用于商业利益，以及捐献者是否可以分享该商业利益。</w:t>
      </w:r>
    </w:p>
    <w:p>
      <w:pPr>
        <w:pStyle w:val="6"/>
        <w:numPr>
          <w:ilvl w:val="0"/>
          <w:numId w:val="39"/>
        </w:numPr>
        <w:spacing w:line="360" w:lineRule="auto"/>
        <w:ind w:firstLineChars="0"/>
        <w:rPr>
          <w:rFonts w:ascii="宋体" w:hAnsi="宋体" w:eastAsia="宋体"/>
          <w:sz w:val="24"/>
          <w:szCs w:val="24"/>
        </w:rPr>
      </w:pPr>
      <w:r>
        <w:rPr>
          <w:rFonts w:hint="eastAsia" w:ascii="宋体" w:hAnsi="宋体" w:eastAsia="宋体"/>
          <w:sz w:val="24"/>
          <w:szCs w:val="24"/>
        </w:rPr>
        <w:t>捐献者联系生物样本库／数据库管理员的方式，以及了解生物样本／数据未来使用情况的途径。</w:t>
      </w:r>
    </w:p>
    <w:p>
      <w:pPr>
        <w:pStyle w:val="6"/>
        <w:numPr>
          <w:ilvl w:val="0"/>
          <w:numId w:val="39"/>
        </w:numPr>
        <w:spacing w:line="360" w:lineRule="auto"/>
        <w:ind w:firstLineChars="0"/>
        <w:rPr>
          <w:rFonts w:ascii="宋体" w:hAnsi="宋体" w:eastAsia="宋体"/>
          <w:sz w:val="24"/>
          <w:szCs w:val="24"/>
        </w:rPr>
      </w:pPr>
      <w:r>
        <w:rPr>
          <w:rFonts w:hint="eastAsia" w:ascii="宋体" w:hAnsi="宋体" w:eastAsia="宋体"/>
          <w:sz w:val="24"/>
          <w:szCs w:val="24"/>
        </w:rPr>
        <w:t>可能使用可识别的生物样本或数据进行的研究类型的一般性说明，使得理性的捐献者知晓泛知情同意书所许可的研究类型。</w:t>
      </w:r>
    </w:p>
    <w:p>
      <w:pPr>
        <w:pStyle w:val="6"/>
        <w:numPr>
          <w:ilvl w:val="0"/>
          <w:numId w:val="39"/>
        </w:numPr>
        <w:spacing w:line="360" w:lineRule="auto"/>
        <w:ind w:firstLineChars="0"/>
        <w:rPr>
          <w:rFonts w:ascii="宋体" w:hAnsi="宋体" w:eastAsia="宋体"/>
          <w:sz w:val="24"/>
          <w:szCs w:val="24"/>
        </w:rPr>
      </w:pPr>
      <w:r>
        <w:rPr>
          <w:rFonts w:hint="eastAsia" w:ascii="宋体" w:hAnsi="宋体" w:eastAsia="宋体"/>
          <w:sz w:val="24"/>
          <w:szCs w:val="24"/>
        </w:rPr>
        <w:t>可识别的生物样本或数据中移除标识符后，可以用于哪些无需捐献者或其监护人额外知情同意的未来研究。</w:t>
      </w:r>
    </w:p>
    <w:p>
      <w:pPr>
        <w:pStyle w:val="6"/>
        <w:numPr>
          <w:ilvl w:val="0"/>
          <w:numId w:val="39"/>
        </w:numPr>
        <w:spacing w:line="360" w:lineRule="auto"/>
        <w:ind w:firstLineChars="0"/>
        <w:rPr>
          <w:rFonts w:ascii="宋体" w:hAnsi="宋体" w:eastAsia="宋体"/>
          <w:sz w:val="24"/>
          <w:szCs w:val="24"/>
        </w:rPr>
      </w:pPr>
      <w:r>
        <w:rPr>
          <w:rFonts w:hint="eastAsia" w:ascii="宋体" w:hAnsi="宋体" w:eastAsia="宋体"/>
          <w:sz w:val="24"/>
          <w:szCs w:val="24"/>
        </w:rPr>
        <w:t>除非向捐献者或其监护人提供特定的研究详细信息，否则应说明不会告知他们任何可能使用捐献者的可识别的生物样本或数据进行的特定研究的详情（如研究目的），包括他们有可能不会选择同意的某些特定的研究。</w:t>
      </w:r>
    </w:p>
    <w:p>
      <w:pPr>
        <w:pStyle w:val="6"/>
        <w:numPr>
          <w:ilvl w:val="0"/>
          <w:numId w:val="39"/>
        </w:numPr>
        <w:spacing w:line="360" w:lineRule="auto"/>
        <w:ind w:firstLineChars="0"/>
        <w:rPr>
          <w:rFonts w:ascii="宋体" w:hAnsi="宋体" w:eastAsia="宋体"/>
          <w:sz w:val="24"/>
          <w:szCs w:val="24"/>
        </w:rPr>
      </w:pPr>
      <w:r>
        <w:rPr>
          <w:rFonts w:hint="eastAsia" w:ascii="宋体" w:hAnsi="宋体" w:eastAsia="宋体"/>
          <w:sz w:val="24"/>
          <w:szCs w:val="24"/>
        </w:rPr>
        <w:t>可能用于研究的可识别的生物样本或数据的描述。</w:t>
      </w:r>
    </w:p>
    <w:p>
      <w:pPr>
        <w:pStyle w:val="6"/>
        <w:numPr>
          <w:ilvl w:val="0"/>
          <w:numId w:val="39"/>
        </w:numPr>
        <w:spacing w:line="360" w:lineRule="auto"/>
        <w:ind w:firstLineChars="0"/>
        <w:rPr>
          <w:rFonts w:ascii="宋体" w:hAnsi="宋体" w:eastAsia="宋体"/>
          <w:sz w:val="24"/>
          <w:szCs w:val="24"/>
        </w:rPr>
      </w:pPr>
      <w:r>
        <w:rPr>
          <w:rFonts w:hint="eastAsia" w:ascii="宋体" w:hAnsi="宋体" w:eastAsia="宋体"/>
          <w:sz w:val="24"/>
          <w:szCs w:val="24"/>
        </w:rPr>
        <w:t>是否可能共享可识别的生物样本或数据。</w:t>
      </w:r>
    </w:p>
    <w:p>
      <w:pPr>
        <w:pStyle w:val="6"/>
        <w:numPr>
          <w:ilvl w:val="0"/>
          <w:numId w:val="40"/>
        </w:numPr>
        <w:spacing w:line="360" w:lineRule="auto"/>
        <w:ind w:firstLineChars="0"/>
        <w:rPr>
          <w:rFonts w:ascii="宋体" w:hAnsi="宋体" w:eastAsia="宋体"/>
          <w:sz w:val="24"/>
          <w:szCs w:val="24"/>
        </w:rPr>
      </w:pPr>
      <w:r>
        <w:rPr>
          <w:rFonts w:hint="eastAsia" w:ascii="宋体" w:hAnsi="宋体" w:eastAsia="宋体"/>
          <w:sz w:val="24"/>
          <w:szCs w:val="24"/>
        </w:rPr>
        <w:t>除非知道在任何情况下临床相关的研究结果（包括个人研究结果）都将向捐献者披露，否则应说明此类结果可能不会向捐献者披露。</w:t>
      </w:r>
    </w:p>
    <w:p>
      <w:pPr>
        <w:pStyle w:val="6"/>
        <w:numPr>
          <w:ilvl w:val="0"/>
          <w:numId w:val="40"/>
        </w:numPr>
        <w:spacing w:line="360" w:lineRule="auto"/>
        <w:ind w:firstLineChars="0"/>
        <w:rPr>
          <w:rFonts w:ascii="宋体" w:hAnsi="宋体" w:eastAsia="宋体"/>
          <w:sz w:val="24"/>
          <w:szCs w:val="24"/>
        </w:rPr>
      </w:pPr>
      <w:r>
        <w:rPr>
          <w:rFonts w:hint="eastAsia" w:ascii="宋体" w:hAnsi="宋体" w:eastAsia="宋体"/>
          <w:sz w:val="24"/>
          <w:szCs w:val="24"/>
        </w:rPr>
        <w:t>向捐献者提供是否希望获得研究结果中对其健康有益信息的选择，同时清楚地说明，提供个体诊断不是未来研究项目的目的。</w:t>
      </w:r>
    </w:p>
    <w:p>
      <w:pPr>
        <w:pStyle w:val="6"/>
        <w:numPr>
          <w:ilvl w:val="0"/>
          <w:numId w:val="40"/>
        </w:numPr>
        <w:spacing w:line="360" w:lineRule="auto"/>
        <w:ind w:firstLineChars="0"/>
        <w:rPr>
          <w:rFonts w:ascii="宋体" w:hAnsi="宋体" w:eastAsia="宋体"/>
          <w:sz w:val="24"/>
          <w:szCs w:val="24"/>
        </w:rPr>
      </w:pPr>
      <w:r>
        <w:rPr>
          <w:rFonts w:hint="eastAsia" w:ascii="宋体" w:hAnsi="宋体" w:eastAsia="宋体"/>
          <w:sz w:val="24"/>
          <w:szCs w:val="24"/>
        </w:rPr>
        <w:t>如果出现捐献者未要求反馈的研究结果，它们将如何处理。</w:t>
      </w:r>
    </w:p>
    <w:p>
      <w:pPr>
        <w:pStyle w:val="6"/>
        <w:numPr>
          <w:ilvl w:val="0"/>
          <w:numId w:val="40"/>
        </w:numPr>
        <w:spacing w:line="360" w:lineRule="auto"/>
        <w:ind w:firstLineChars="0"/>
        <w:rPr>
          <w:rFonts w:ascii="宋体" w:hAnsi="宋体" w:eastAsia="宋体"/>
          <w:sz w:val="24"/>
          <w:szCs w:val="24"/>
        </w:rPr>
      </w:pPr>
      <w:r>
        <w:rPr>
          <w:rFonts w:hint="eastAsia" w:ascii="宋体" w:hAnsi="宋体" w:eastAsia="宋体"/>
          <w:sz w:val="24"/>
          <w:szCs w:val="24"/>
        </w:rPr>
        <w:t>对于涉及生物样本的研究，说明该研究是否将包含或可能包含全基因组测序（如已知）。</w:t>
      </w:r>
    </w:p>
    <w:p>
      <w:pPr>
        <w:pStyle w:val="6"/>
        <w:numPr>
          <w:ilvl w:val="0"/>
          <w:numId w:val="40"/>
        </w:numPr>
        <w:spacing w:line="360" w:lineRule="auto"/>
        <w:ind w:firstLineChars="0"/>
        <w:rPr>
          <w:rFonts w:ascii="宋体" w:hAnsi="宋体" w:eastAsia="宋体"/>
          <w:sz w:val="24"/>
          <w:szCs w:val="24"/>
        </w:rPr>
      </w:pPr>
      <w:r>
        <w:rPr>
          <w:rFonts w:hint="eastAsia" w:ascii="宋体" w:hAnsi="宋体" w:eastAsia="宋体"/>
          <w:sz w:val="24"/>
          <w:szCs w:val="24"/>
        </w:rPr>
        <w:t>研究结束时是否有销毁生物样本计划，如果不销毁，是否有储存的详细安排（在何处，如何，多长时间和最终处置）以及可能的未来用途。</w:t>
      </w:r>
    </w:p>
    <w:p>
      <w:pPr>
        <w:pStyle w:val="6"/>
        <w:numPr>
          <w:ilvl w:val="0"/>
          <w:numId w:val="40"/>
        </w:numPr>
        <w:spacing w:line="360" w:lineRule="auto"/>
        <w:ind w:firstLineChars="0"/>
        <w:rPr>
          <w:rFonts w:ascii="宋体" w:hAnsi="宋体" w:eastAsia="宋体"/>
          <w:sz w:val="24"/>
          <w:szCs w:val="24"/>
        </w:rPr>
      </w:pPr>
      <w:r>
        <w:rPr>
          <w:rFonts w:hint="eastAsia" w:ascii="宋体" w:hAnsi="宋体" w:eastAsia="宋体"/>
          <w:sz w:val="24"/>
          <w:szCs w:val="24"/>
        </w:rPr>
        <w:t>捐献者咨询权利相关的问题可以联系谁。</w:t>
      </w:r>
    </w:p>
    <w:p>
      <w:pPr>
        <w:pStyle w:val="6"/>
        <w:numPr>
          <w:ilvl w:val="0"/>
          <w:numId w:val="40"/>
        </w:numPr>
        <w:spacing w:line="360" w:lineRule="auto"/>
        <w:ind w:firstLineChars="0"/>
        <w:rPr>
          <w:rFonts w:ascii="宋体" w:hAnsi="宋体" w:eastAsia="宋体"/>
          <w:sz w:val="24"/>
          <w:szCs w:val="24"/>
        </w:rPr>
      </w:pPr>
      <w:r>
        <w:rPr>
          <w:rFonts w:hint="eastAsia" w:ascii="宋体" w:hAnsi="宋体" w:eastAsia="宋体"/>
          <w:sz w:val="24"/>
          <w:szCs w:val="24"/>
        </w:rPr>
        <w:t>捐献者咨询可识别的信息或生物样本储存和使用的相关问题可以联系谁。</w:t>
      </w:r>
    </w:p>
    <w:p>
      <w:pPr>
        <w:pStyle w:val="6"/>
        <w:numPr>
          <w:ilvl w:val="0"/>
          <w:numId w:val="40"/>
        </w:numPr>
        <w:spacing w:line="360" w:lineRule="auto"/>
        <w:ind w:firstLineChars="0"/>
        <w:rPr>
          <w:rFonts w:ascii="宋体" w:hAnsi="宋体" w:eastAsia="宋体"/>
          <w:sz w:val="24"/>
          <w:szCs w:val="24"/>
        </w:rPr>
      </w:pPr>
      <w:r>
        <w:rPr>
          <w:rFonts w:hint="eastAsia" w:ascii="宋体" w:hAnsi="宋体" w:eastAsia="宋体"/>
          <w:sz w:val="24"/>
          <w:szCs w:val="24"/>
        </w:rPr>
        <w:t>捐献者发生研究相关的损害可以联系谁（不能仅仅因为研究只涉及不大于最低风险而被忽略）。</w:t>
      </w:r>
    </w:p>
    <w:p>
      <w:pPr>
        <w:pStyle w:val="6"/>
        <w:numPr>
          <w:ilvl w:val="0"/>
          <w:numId w:val="40"/>
        </w:numPr>
        <w:spacing w:line="360" w:lineRule="auto"/>
        <w:ind w:firstLineChars="0"/>
        <w:rPr>
          <w:rFonts w:ascii="宋体" w:hAnsi="宋体" w:eastAsia="宋体"/>
          <w:sz w:val="24"/>
          <w:szCs w:val="24"/>
        </w:rPr>
      </w:pPr>
      <w:r>
        <w:rPr>
          <w:rFonts w:hint="eastAsia" w:ascii="宋体" w:hAnsi="宋体" w:eastAsia="宋体"/>
          <w:sz w:val="24"/>
          <w:szCs w:val="24"/>
        </w:rPr>
        <w:t>有疑问，疑虑或投诉时，与研究团队的联系信息。</w:t>
      </w:r>
    </w:p>
    <w:p>
      <w:pPr>
        <w:pStyle w:val="6"/>
        <w:numPr>
          <w:ilvl w:val="0"/>
          <w:numId w:val="40"/>
        </w:numPr>
        <w:spacing w:line="360" w:lineRule="auto"/>
        <w:ind w:firstLineChars="0"/>
        <w:rPr>
          <w:rFonts w:ascii="宋体" w:hAnsi="宋体" w:eastAsia="宋体"/>
          <w:sz w:val="24"/>
          <w:szCs w:val="24"/>
        </w:rPr>
      </w:pPr>
      <w:r>
        <w:rPr>
          <w:rFonts w:hint="eastAsia" w:ascii="宋体" w:hAnsi="宋体" w:eastAsia="宋体"/>
          <w:sz w:val="24"/>
          <w:szCs w:val="24"/>
        </w:rPr>
        <w:t>有问题、疑虑、疑问、意见或建议时，与某个独立于研究团队的人员的联系信息。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未来研究的使用范围：泛知情同意应当告知可识别的生物材料和数据的在未来研究中的使用范围。泛知情同意不是一揽子的同意，不是允许将来不受任何限制的使用人体材料和数据；相反，泛知情同意对未来使用人体材料设置了某些限制。泛知情同意应当具体说明：生物样本库的目的；储存条件和持续时间；访问生物样本库的规则；捐赠者与生物样本库管理员的联系方式，以保持对未来使用情况的了解；材料的可预见用途，包括已经完全界定的研究，以及扩展用于一些完全或部分未界定的研究；该种用途的预期目标，是用于基础研究，应用研究，还是用于商业目的；出现未经同意的研究发现的可能性，以及如何处理这些发现。伦理委员会必须确认所计划的收集、储存生物材料的方案，以及知情同意的程序符合这些规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研究结果的反馈：不是所有的研究结果都有必要反馈给捐献者。只有具备有效性分析、临床重要意义和可应用性的研究结果，才是合适的有必要反馈的结果。告知捐赠者的信息应清楚地说明，提供个体诊断不是生物样本库或未来研究项目的目的，以防止捐赠者因没有反馈研究计划外的发现而错误地放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研究涉及基因检测结果和家族遗传疾病信息：应当告知研究的规定，未经受试者同意，不会将其基因检测结果泄露给其直接亲属或其他人（如保险公司），以及落实该规定的防范措施。</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3.有适当的文件证明知情同意</w:t>
      </w:r>
    </w:p>
    <w:p>
      <w:pPr>
        <w:pStyle w:val="6"/>
        <w:numPr>
          <w:ilvl w:val="0"/>
          <w:numId w:val="41"/>
        </w:numPr>
        <w:spacing w:line="360" w:lineRule="auto"/>
        <w:ind w:firstLineChars="0"/>
        <w:rPr>
          <w:rFonts w:ascii="宋体" w:hAnsi="宋体" w:eastAsia="宋体"/>
          <w:sz w:val="24"/>
          <w:szCs w:val="24"/>
        </w:rPr>
      </w:pPr>
      <w:r>
        <w:rPr>
          <w:rFonts w:hint="eastAsia" w:ascii="宋体" w:hAnsi="宋体" w:eastAsia="宋体"/>
          <w:sz w:val="24"/>
          <w:szCs w:val="24"/>
        </w:rPr>
        <w:t>知情同意通常以书面文件的方式，将所披露的基本信息和适当的附加信息记录在案。</w:t>
      </w:r>
    </w:p>
    <w:p>
      <w:pPr>
        <w:pStyle w:val="6"/>
        <w:numPr>
          <w:ilvl w:val="0"/>
          <w:numId w:val="42"/>
        </w:numPr>
        <w:spacing w:line="360" w:lineRule="auto"/>
        <w:ind w:firstLineChars="0"/>
        <w:rPr>
          <w:rFonts w:ascii="宋体" w:hAnsi="宋体" w:eastAsia="宋体"/>
          <w:sz w:val="24"/>
          <w:szCs w:val="24"/>
        </w:rPr>
      </w:pPr>
      <w:r>
        <w:rPr>
          <w:rFonts w:hint="eastAsia" w:ascii="宋体" w:hAnsi="宋体" w:eastAsia="宋体"/>
          <w:sz w:val="24"/>
          <w:szCs w:val="24"/>
        </w:rPr>
        <w:t>受试者或其监护人将签署知情同意书并注明日期。</w:t>
      </w:r>
    </w:p>
    <w:p>
      <w:pPr>
        <w:pStyle w:val="6"/>
        <w:numPr>
          <w:ilvl w:val="0"/>
          <w:numId w:val="42"/>
        </w:numPr>
        <w:spacing w:line="360" w:lineRule="auto"/>
        <w:ind w:firstLineChars="0"/>
        <w:rPr>
          <w:rFonts w:ascii="宋体" w:hAnsi="宋体" w:eastAsia="宋体"/>
          <w:sz w:val="24"/>
          <w:szCs w:val="24"/>
        </w:rPr>
      </w:pPr>
      <w:r>
        <w:rPr>
          <w:rFonts w:hint="eastAsia" w:ascii="宋体" w:hAnsi="宋体" w:eastAsia="宋体"/>
          <w:sz w:val="24"/>
          <w:szCs w:val="24"/>
        </w:rPr>
        <w:t>如果受试者或监护人没有阅读能力，获取其口头知情同意时需要有一名见证人。对于不会讲本地母语的受试者，见证人必须熟悉本地母语及受试者语言。见证人将在知情同意文件上签名并注明日期，以证明知情同意过程。</w:t>
      </w:r>
    </w:p>
    <w:p>
      <w:pPr>
        <w:pStyle w:val="6"/>
        <w:numPr>
          <w:ilvl w:val="0"/>
          <w:numId w:val="42"/>
        </w:numPr>
        <w:spacing w:line="360" w:lineRule="auto"/>
        <w:ind w:firstLineChars="0"/>
        <w:rPr>
          <w:rFonts w:ascii="宋体" w:hAnsi="宋体" w:eastAsia="宋体"/>
          <w:sz w:val="24"/>
          <w:szCs w:val="24"/>
        </w:rPr>
      </w:pPr>
      <w:r>
        <w:rPr>
          <w:rFonts w:hint="eastAsia" w:ascii="宋体" w:hAnsi="宋体" w:eastAsia="宋体"/>
          <w:sz w:val="24"/>
          <w:szCs w:val="24"/>
        </w:rPr>
        <w:t>实际获取知情同意的人将签署知情同意书并注明日期。</w:t>
      </w:r>
    </w:p>
    <w:p>
      <w:pPr>
        <w:pStyle w:val="6"/>
        <w:numPr>
          <w:ilvl w:val="0"/>
          <w:numId w:val="42"/>
        </w:numPr>
        <w:spacing w:line="360" w:lineRule="auto"/>
        <w:ind w:firstLineChars="0"/>
        <w:rPr>
          <w:rFonts w:ascii="宋体" w:hAnsi="宋体" w:eastAsia="宋体"/>
          <w:sz w:val="24"/>
          <w:szCs w:val="24"/>
        </w:rPr>
      </w:pPr>
      <w:r>
        <w:rPr>
          <w:rFonts w:hint="eastAsia" w:ascii="宋体" w:hAnsi="宋体" w:eastAsia="宋体"/>
          <w:sz w:val="24"/>
          <w:szCs w:val="24"/>
        </w:rPr>
        <w:t>将向受试者或其监护人提供一份已签署的知情同意书副本。</w:t>
      </w:r>
    </w:p>
    <w:p>
      <w:pPr>
        <w:pStyle w:val="6"/>
        <w:numPr>
          <w:ilvl w:val="0"/>
          <w:numId w:val="42"/>
        </w:numPr>
        <w:spacing w:line="360" w:lineRule="auto"/>
        <w:ind w:firstLineChars="0"/>
        <w:rPr>
          <w:rFonts w:ascii="宋体" w:hAnsi="宋体" w:eastAsia="宋体"/>
          <w:sz w:val="24"/>
          <w:szCs w:val="24"/>
        </w:rPr>
      </w:pPr>
      <w:r>
        <w:rPr>
          <w:rFonts w:hint="eastAsia" w:ascii="宋体" w:hAnsi="宋体" w:eastAsia="宋体"/>
          <w:sz w:val="24"/>
          <w:szCs w:val="24"/>
        </w:rPr>
        <w:t>将在病史中记录知情同意的具体时间和人员。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同意文件：作为一般规则，受试者应当签署一份书面的知情同意文件。如果受试者没有知情同意的能力，其监护人应当签署知情同意书。变更或豁免知情同意，必须得到伦理委员会的审查同意。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口头同意：如果免除知情同意的签字（口头获得同意），研究人员应当向伦理委员会提交同意的书面文件，并获得伦理审查同意。这份知情同意文件可以由获取知情同意的人员证明，也可以由获取知情同意时在场的证人予以证明。</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4.受试者或其监护人无阅读能力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受试者或其监护人无阅读能力，则在知情同意讨论的全过程中应当有一名公正的见证人在场。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研究人员应当向受试者或其监护人诵读和解释书面知情同意书和提供给受试者的其他书面资料。如果受试者或其监护人口头同意参加试验，在有能力的情况下他们应当在知情同意书上签名并注明日期。见证人亦应当在知情同意书上签名并注明日期，以证明受试者或其监护人就知情同意书和其他书面资料得到了研究者准确地解释，并理解了相关内容，同意参加临床研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在参加研究之前，受试者或其监护人应当得到一份已签署姓名和日期的知情同意书副本，以及提供给受试者的其他书面资料。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知情同意过程需要有见证人在场的两种情况：①受试者有知情同意能力，但没有阅读能力。②受试者没有知情同意能力，此时需要有监护人代理决策，但监护人没有阅读能力。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见证人如何证明知情同意的过程：见证人除了应当在知情同意文件上签字以外，必须同时说明其见证的事项，即研究者已经向受试者或其监护人正确地诵读和准确地解释了知情同意书和其他书面资料，回答了相关问题，显然受试者或其监护人理解了相关内容，自愿做出参加临床研究的决定。</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5.可能影响受试者继续参与研究意愿的新信息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伦理委员会跟踪审查应当关注是否存在可能影响受试者继续参与研究意愿的新信息。如果存在此类新信息，可以采取的措施有：</w:t>
      </w:r>
    </w:p>
    <w:p>
      <w:pPr>
        <w:pStyle w:val="6"/>
        <w:numPr>
          <w:ilvl w:val="0"/>
          <w:numId w:val="43"/>
        </w:numPr>
        <w:spacing w:line="360" w:lineRule="auto"/>
        <w:ind w:firstLineChars="0"/>
        <w:rPr>
          <w:rFonts w:ascii="宋体" w:hAnsi="宋体" w:eastAsia="宋体"/>
          <w:sz w:val="24"/>
          <w:szCs w:val="24"/>
        </w:rPr>
      </w:pPr>
      <w:r>
        <w:rPr>
          <w:rFonts w:hint="eastAsia" w:ascii="宋体" w:hAnsi="宋体" w:eastAsia="宋体"/>
          <w:sz w:val="24"/>
          <w:szCs w:val="24"/>
        </w:rPr>
        <w:t>要求修改知情同意书。</w:t>
      </w:r>
    </w:p>
    <w:p>
      <w:pPr>
        <w:pStyle w:val="6"/>
        <w:numPr>
          <w:ilvl w:val="0"/>
          <w:numId w:val="43"/>
        </w:numPr>
        <w:spacing w:line="360" w:lineRule="auto"/>
        <w:ind w:firstLineChars="0"/>
        <w:rPr>
          <w:rFonts w:ascii="宋体" w:hAnsi="宋体" w:eastAsia="宋体"/>
          <w:sz w:val="24"/>
          <w:szCs w:val="24"/>
        </w:rPr>
      </w:pPr>
      <w:r>
        <w:rPr>
          <w:rFonts w:hint="eastAsia" w:ascii="宋体" w:hAnsi="宋体" w:eastAsia="宋体"/>
          <w:sz w:val="24"/>
          <w:szCs w:val="24"/>
        </w:rPr>
        <w:t>要求受试者重新签署知情同意书。</w:t>
      </w:r>
    </w:p>
    <w:p>
      <w:pPr>
        <w:pStyle w:val="6"/>
        <w:numPr>
          <w:ilvl w:val="0"/>
          <w:numId w:val="43"/>
        </w:numPr>
        <w:spacing w:line="360" w:lineRule="auto"/>
        <w:ind w:firstLineChars="0"/>
        <w:rPr>
          <w:rFonts w:ascii="宋体" w:hAnsi="宋体" w:eastAsia="宋体"/>
          <w:sz w:val="24"/>
          <w:szCs w:val="24"/>
        </w:rPr>
      </w:pPr>
      <w:r>
        <w:rPr>
          <w:rFonts w:hint="eastAsia" w:ascii="宋体" w:hAnsi="宋体" w:eastAsia="宋体"/>
          <w:sz w:val="24"/>
          <w:szCs w:val="24"/>
        </w:rPr>
        <w:t>观察知情同意的过程。</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6.变更或豁免知情同意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变更知情同意是指仍然会获得知情同意，但披露的要素或知情同意的文件证明与法规要求有所不同：①变更提供给受试者的信息，例如隐瞒信息。②变更知情同意的文件证明，例如免除知情同意的签字（口头同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豁免知情同意是指豁免同意的整个要求，包括同意过程的属性和披露要素，意味着允许研究人员在没有获得完全知情同意的情况下进行研究。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所有涉及人的生物医学研究必须得到个人或其监护人的知情同意。变更或豁免知情同意需要正当的理由并得到伦理委员会的审查同意。</w:t>
      </w:r>
    </w:p>
    <w:p>
      <w:pPr>
        <w:spacing w:line="360" w:lineRule="auto"/>
        <w:ind w:firstLine="482" w:firstLineChars="200"/>
        <w:rPr>
          <w:rFonts w:ascii="宋体" w:hAnsi="宋体" w:eastAsia="宋体"/>
          <w:sz w:val="24"/>
          <w:szCs w:val="24"/>
        </w:rPr>
      </w:pPr>
      <w:r>
        <w:rPr>
          <w:rFonts w:ascii="宋体" w:hAnsi="宋体" w:eastAsia="宋体"/>
          <w:b/>
          <w:bCs/>
          <w:sz w:val="24"/>
          <w:szCs w:val="24"/>
        </w:rPr>
        <w:t>6.1</w:t>
      </w:r>
      <w:r>
        <w:rPr>
          <w:rFonts w:ascii="宋体" w:hAnsi="宋体" w:eastAsia="宋体"/>
          <w:sz w:val="24"/>
          <w:szCs w:val="24"/>
        </w:rPr>
        <w:t xml:space="preserve"> 变更或豁免知情同意的伦理审查应当确认同时满足了以下三个前提条件：</w:t>
      </w:r>
    </w:p>
    <w:p>
      <w:pPr>
        <w:pStyle w:val="6"/>
        <w:numPr>
          <w:ilvl w:val="0"/>
          <w:numId w:val="44"/>
        </w:numPr>
        <w:spacing w:line="360" w:lineRule="auto"/>
        <w:ind w:firstLineChars="0"/>
        <w:rPr>
          <w:rFonts w:ascii="宋体" w:hAnsi="宋体" w:eastAsia="宋体"/>
          <w:sz w:val="24"/>
          <w:szCs w:val="24"/>
        </w:rPr>
      </w:pPr>
      <w:r>
        <w:rPr>
          <w:rFonts w:hint="eastAsia" w:ascii="宋体" w:hAnsi="宋体" w:eastAsia="宋体"/>
          <w:sz w:val="24"/>
          <w:szCs w:val="24"/>
        </w:rPr>
        <w:t>如果没有变更或豁免，研究将不可行或无法实施。</w:t>
      </w:r>
    </w:p>
    <w:p>
      <w:pPr>
        <w:pStyle w:val="6"/>
        <w:numPr>
          <w:ilvl w:val="0"/>
          <w:numId w:val="45"/>
        </w:numPr>
        <w:spacing w:line="360" w:lineRule="auto"/>
        <w:ind w:firstLineChars="0"/>
        <w:rPr>
          <w:rFonts w:ascii="宋体" w:hAnsi="宋体" w:eastAsia="宋体"/>
          <w:sz w:val="24"/>
          <w:szCs w:val="24"/>
        </w:rPr>
      </w:pPr>
      <w:r>
        <w:rPr>
          <w:rFonts w:hint="eastAsia" w:ascii="宋体" w:hAnsi="宋体" w:eastAsia="宋体"/>
          <w:sz w:val="24"/>
          <w:szCs w:val="24"/>
        </w:rPr>
        <w:t>研究具有重要的社会价值。</w:t>
      </w:r>
    </w:p>
    <w:p>
      <w:pPr>
        <w:pStyle w:val="6"/>
        <w:numPr>
          <w:ilvl w:val="0"/>
          <w:numId w:val="46"/>
        </w:numPr>
        <w:spacing w:line="360" w:lineRule="auto"/>
        <w:ind w:firstLineChars="0"/>
        <w:rPr>
          <w:rFonts w:ascii="宋体" w:hAnsi="宋体" w:eastAsia="宋体"/>
          <w:sz w:val="24"/>
          <w:szCs w:val="24"/>
        </w:rPr>
      </w:pPr>
      <w:r>
        <w:rPr>
          <w:rFonts w:hint="eastAsia" w:ascii="宋体" w:hAnsi="宋体" w:eastAsia="宋体"/>
          <w:sz w:val="24"/>
          <w:szCs w:val="24"/>
        </w:rPr>
        <w:t>研究对受试者造成的风险不超过最低风险。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研究将不可行或无法实施：生物医学研究是指无法找到受试者。社会行为学研究是指如果告知了研究的信息，受试者就有可能改变行为，研究将无法获得有效的数据。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利用储存在生物标本库的标本和相关信息的研究，是否可以豁免知情同意：如果生物标本在入库前，已经通过特定的知情同意或泛知情同意，获得了受试者同意用于将来研究的授权，就不需要再次获得同意。此类情况不属于豁免知情同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利用医疗诊断过程剩余的血液标本进行诊断试剂的临床试验，采用鉴认代码隐藏个人身份信息，是否可以豁免知情同意：利用剩余血液标本进行的诊断试剂临床试验属于前瞻性研究，不存在无法找到受试者；此外，通过鉴认代码表可以关联受试者。因此，此类研究应当获取知情同意。</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利用不可识别身份数据的研究，是否可以豁免知情同意：例如，利用文献论文报告的结果数据进行荟萃分析，因为没有个人身份信息，所以研究人员无法联系受试者；由于数据不可识别身份，所以对个体风险不大于最低风险。如果研究具有重要的社会价值，那么就满足了上述豁免知情同意的三个条件。</w:t>
      </w:r>
    </w:p>
    <w:p>
      <w:pPr>
        <w:spacing w:line="360" w:lineRule="auto"/>
        <w:ind w:firstLine="482" w:firstLineChars="200"/>
        <w:rPr>
          <w:rFonts w:ascii="宋体" w:hAnsi="宋体" w:eastAsia="宋体"/>
          <w:sz w:val="24"/>
          <w:szCs w:val="24"/>
        </w:rPr>
      </w:pPr>
      <w:r>
        <w:rPr>
          <w:rFonts w:ascii="宋体" w:hAnsi="宋体" w:eastAsia="宋体"/>
          <w:b/>
          <w:bCs/>
          <w:sz w:val="24"/>
          <w:szCs w:val="24"/>
        </w:rPr>
        <w:t>6.2</w:t>
      </w:r>
      <w:r>
        <w:rPr>
          <w:rFonts w:ascii="宋体" w:hAnsi="宋体" w:eastAsia="宋体"/>
          <w:sz w:val="24"/>
          <w:szCs w:val="24"/>
        </w:rPr>
        <w:t xml:space="preserve"> 变更知情同意的附加条件：隐瞒信息</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对需要在知情同意过程中隐瞒信息，以确保研究的有效性，伦理审查应当确认符合以下要求：</w:t>
      </w:r>
    </w:p>
    <w:p>
      <w:pPr>
        <w:pStyle w:val="6"/>
        <w:numPr>
          <w:ilvl w:val="0"/>
          <w:numId w:val="46"/>
        </w:numPr>
        <w:spacing w:line="360" w:lineRule="auto"/>
        <w:ind w:firstLineChars="0"/>
        <w:rPr>
          <w:rFonts w:ascii="宋体" w:hAnsi="宋体" w:eastAsia="宋体"/>
          <w:sz w:val="24"/>
          <w:szCs w:val="24"/>
        </w:rPr>
      </w:pPr>
      <w:r>
        <w:rPr>
          <w:rFonts w:hint="eastAsia" w:ascii="宋体" w:hAnsi="宋体" w:eastAsia="宋体"/>
          <w:sz w:val="24"/>
          <w:szCs w:val="24"/>
        </w:rPr>
        <w:t>事先征询潜在的受试者同意在研究完成前将不告知他们某些试验程序的目的，在研究完成后告知所隐瞒的信息。例如，监测受试者的依从性，有关试验分组的详细程序。</w:t>
      </w:r>
    </w:p>
    <w:p>
      <w:pPr>
        <w:pStyle w:val="6"/>
        <w:numPr>
          <w:ilvl w:val="0"/>
          <w:numId w:val="46"/>
        </w:numPr>
        <w:spacing w:line="360" w:lineRule="auto"/>
        <w:ind w:firstLineChars="0"/>
        <w:rPr>
          <w:rFonts w:ascii="宋体" w:hAnsi="宋体" w:eastAsia="宋体"/>
          <w:sz w:val="24"/>
          <w:szCs w:val="24"/>
        </w:rPr>
      </w:pPr>
      <w:r>
        <w:rPr>
          <w:rFonts w:hint="eastAsia" w:ascii="宋体" w:hAnsi="宋体" w:eastAsia="宋体"/>
          <w:sz w:val="24"/>
          <w:szCs w:val="24"/>
        </w:rPr>
        <w:t>如果事先征询受试者同意隐瞒信息可能危及研究的有效性，在完成数据收集前都不能告知受试者某些信息已被隐瞒。此类事先未征询受试者同意的隐瞒信息，必须获得伦理委员会的明确同意，并要求在研究结果分析之前，必须向受试者披露被隐瞒的信息，并允许其考虑是否撤回在研究中所采集的他们的数据。研究开始前，必须考虑受试者撤回数据对研究有效性的潜在影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对照试验：知情同意文件应当说明研究设计的特点（例如随机化，双盲），在研究完成并在破盲之前，研究人员不会告知受试者所分配的治疗。</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没有将所有重要信息都披露：应当询问潜在受试者是否同意被告知不完整的信息，并告知将在分析研究结果之前提供完整的信息，以及给予受试者撤回研究所收集的他们的数据的可能性。</w:t>
      </w:r>
    </w:p>
    <w:p>
      <w:pPr>
        <w:spacing w:line="360" w:lineRule="auto"/>
        <w:ind w:firstLine="482" w:firstLineChars="200"/>
        <w:rPr>
          <w:rFonts w:ascii="宋体" w:hAnsi="宋体" w:eastAsia="宋体"/>
          <w:sz w:val="24"/>
          <w:szCs w:val="24"/>
        </w:rPr>
      </w:pPr>
      <w:r>
        <w:rPr>
          <w:rFonts w:ascii="宋体" w:hAnsi="宋体" w:eastAsia="宋体"/>
          <w:b/>
          <w:bCs/>
          <w:sz w:val="24"/>
          <w:szCs w:val="24"/>
        </w:rPr>
        <w:t>6.3</w:t>
      </w:r>
      <w:r>
        <w:rPr>
          <w:rFonts w:ascii="宋体" w:hAnsi="宋体" w:eastAsia="宋体"/>
          <w:sz w:val="24"/>
          <w:szCs w:val="24"/>
        </w:rPr>
        <w:t xml:space="preserve"> 变更知情同意的附加条件：主动欺骗</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社会行为学研究的某些特定情况，只有通过主动欺骗才能获得研究的有效结果。伦理审查应当确认符合以下条件：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研究者应当向伦理委员会证明：①没有其他方法可以获得有效和可靠的数据。②研究具有重要的社会价值。③不隐瞒类似信息，会导致理性的人拒绝参与研究。</w:t>
      </w:r>
    </w:p>
    <w:p>
      <w:pPr>
        <w:pStyle w:val="6"/>
        <w:numPr>
          <w:ilvl w:val="0"/>
          <w:numId w:val="47"/>
        </w:numPr>
        <w:spacing w:line="360" w:lineRule="auto"/>
        <w:ind w:firstLineChars="0"/>
        <w:rPr>
          <w:rFonts w:ascii="宋体" w:hAnsi="宋体" w:eastAsia="宋体"/>
          <w:sz w:val="24"/>
          <w:szCs w:val="24"/>
        </w:rPr>
      </w:pPr>
      <w:r>
        <w:rPr>
          <w:rFonts w:hint="eastAsia" w:ascii="宋体" w:hAnsi="宋体" w:eastAsia="宋体"/>
          <w:sz w:val="24"/>
          <w:szCs w:val="24"/>
        </w:rPr>
        <w:t>在知情同意过程中，应当询问潜在的受试者是否同意将被告知不完整的信息。</w:t>
      </w:r>
    </w:p>
    <w:p>
      <w:pPr>
        <w:pStyle w:val="6"/>
        <w:numPr>
          <w:ilvl w:val="0"/>
          <w:numId w:val="47"/>
        </w:numPr>
        <w:spacing w:line="360" w:lineRule="auto"/>
        <w:ind w:firstLineChars="0"/>
        <w:rPr>
          <w:rFonts w:ascii="宋体" w:hAnsi="宋体" w:eastAsia="宋体"/>
          <w:sz w:val="24"/>
          <w:szCs w:val="24"/>
        </w:rPr>
      </w:pPr>
      <w:r>
        <w:rPr>
          <w:rFonts w:hint="eastAsia" w:ascii="宋体" w:hAnsi="宋体" w:eastAsia="宋体"/>
          <w:sz w:val="24"/>
          <w:szCs w:val="24"/>
        </w:rPr>
        <w:t>应当明确如何事后说明情况，解释欺骗的原因。</w:t>
      </w:r>
    </w:p>
    <w:p>
      <w:pPr>
        <w:pStyle w:val="6"/>
        <w:numPr>
          <w:ilvl w:val="0"/>
          <w:numId w:val="47"/>
        </w:numPr>
        <w:spacing w:line="360" w:lineRule="auto"/>
        <w:ind w:firstLineChars="0"/>
        <w:rPr>
          <w:rFonts w:ascii="宋体" w:hAnsi="宋体" w:eastAsia="宋体"/>
          <w:sz w:val="24"/>
          <w:szCs w:val="24"/>
        </w:rPr>
      </w:pPr>
      <w:r>
        <w:rPr>
          <w:rFonts w:hint="eastAsia" w:ascii="宋体" w:hAnsi="宋体" w:eastAsia="宋体"/>
          <w:sz w:val="24"/>
          <w:szCs w:val="24"/>
        </w:rPr>
        <w:t>对于不赞成出于研究目的而被欺骗的受试者，必须为其提供拒绝让研究人员使用通过欺骗获得的他们的数据的机会。在特殊情况下，伦理委员会可以同意保留不可识别个人身份的信息。例如，如果研究是评估服务质量或服务能力的情况下，可能不会向受试者提供撤回数据的选项。</w:t>
      </w:r>
    </w:p>
    <w:p>
      <w:pPr>
        <w:spacing w:line="360" w:lineRule="auto"/>
        <w:ind w:firstLine="482" w:firstLineChars="200"/>
        <w:rPr>
          <w:rFonts w:ascii="宋体" w:hAnsi="宋体" w:eastAsia="宋体"/>
          <w:b/>
          <w:bCs/>
          <w:sz w:val="24"/>
          <w:szCs w:val="24"/>
        </w:rPr>
      </w:pP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六、隐私的保护</w:t>
      </w:r>
    </w:p>
    <w:p>
      <w:pPr>
        <w:spacing w:line="360" w:lineRule="auto"/>
        <w:ind w:firstLine="0" w:firstLineChars="0"/>
        <w:rPr>
          <w:rFonts w:hint="eastAsia" w:ascii="宋体" w:hAnsi="宋体" w:eastAsia="宋体"/>
          <w:sz w:val="24"/>
          <w:szCs w:val="24"/>
          <w:shd w:val="clear"/>
        </w:rPr>
      </w:pPr>
      <w:r>
        <w:rPr>
          <w:rFonts w:hint="eastAsia" w:ascii="宋体" w:hAnsi="宋体" w:eastAsia="宋体"/>
          <w:sz w:val="24"/>
          <w:szCs w:val="24"/>
          <w:shd w:val="clear"/>
        </w:rPr>
        <w:t xml:space="preserve">标准：伦理委员会应当审查并确认在适当的情况下，研究有合适的规定以保护受试者的隐私。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这是伦理审查同意研究的标准之一。伦理委员会应当审查研究是否满足该标准。伦理委员会的委员应当知晓如何应用该标准。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隐私是指个人不愿他人知晓或干涉的私人信息，私人活动和私人空间。例如：与个人身份相关的信息，与个人健康相关的信息，个人的行为和观点等。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伦理委员会委员应当理解隐私的概念；知晓在与受试者接触和使用隐私数据时，相应的隐私保护的策略。</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1.适当的情况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凡是涉及受试者隐私的研究，应当采取合适的隐私保护措施。</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2.合适的隐私保护规定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伦理委员会应当根据研究的具体情况，判断研究方案中保护受试者隐私利益的措施是否合适。伦理委员会对隐私保护的审查需要考虑：</w:t>
      </w:r>
    </w:p>
    <w:p>
      <w:pPr>
        <w:pStyle w:val="6"/>
        <w:numPr>
          <w:ilvl w:val="0"/>
          <w:numId w:val="48"/>
        </w:numPr>
        <w:spacing w:line="360" w:lineRule="auto"/>
        <w:ind w:firstLineChars="0"/>
        <w:rPr>
          <w:rFonts w:ascii="宋体" w:hAnsi="宋体" w:eastAsia="宋体"/>
          <w:sz w:val="24"/>
          <w:szCs w:val="24"/>
        </w:rPr>
      </w:pPr>
      <w:r>
        <w:rPr>
          <w:rFonts w:hint="eastAsia" w:ascii="宋体" w:hAnsi="宋体" w:eastAsia="宋体"/>
          <w:sz w:val="24"/>
          <w:szCs w:val="24"/>
        </w:rPr>
        <w:t>收集受试者的哪些个人身份、健康相关的信息，是否符合研究目的。</w:t>
      </w:r>
    </w:p>
    <w:p>
      <w:pPr>
        <w:pStyle w:val="6"/>
        <w:numPr>
          <w:ilvl w:val="0"/>
          <w:numId w:val="48"/>
        </w:numPr>
        <w:spacing w:line="360" w:lineRule="auto"/>
        <w:ind w:firstLineChars="0"/>
        <w:rPr>
          <w:rFonts w:ascii="宋体" w:hAnsi="宋体" w:eastAsia="宋体"/>
          <w:sz w:val="24"/>
          <w:szCs w:val="24"/>
        </w:rPr>
      </w:pPr>
      <w:r>
        <w:rPr>
          <w:rFonts w:hint="eastAsia" w:ascii="宋体" w:hAnsi="宋体" w:eastAsia="宋体"/>
          <w:sz w:val="24"/>
          <w:szCs w:val="24"/>
        </w:rPr>
        <w:t>谁、在什么场所收集私人信息。</w:t>
      </w:r>
    </w:p>
    <w:p>
      <w:pPr>
        <w:pStyle w:val="6"/>
        <w:numPr>
          <w:ilvl w:val="0"/>
          <w:numId w:val="15"/>
        </w:numPr>
        <w:spacing w:line="360" w:lineRule="auto"/>
        <w:ind w:firstLineChars="0"/>
        <w:rPr>
          <w:rFonts w:ascii="宋体" w:hAnsi="宋体" w:eastAsia="宋体"/>
          <w:sz w:val="24"/>
          <w:szCs w:val="24"/>
        </w:rPr>
      </w:pPr>
      <w:r>
        <w:rPr>
          <w:rFonts w:hint="eastAsia" w:ascii="宋体" w:hAnsi="宋体" w:eastAsia="宋体"/>
          <w:sz w:val="24"/>
          <w:szCs w:val="24"/>
        </w:rPr>
        <w:t>研究者不是经治医师，无法从其工作渠道知晓潜在研究受试者情况下，如何联系受试者。</w:t>
      </w:r>
    </w:p>
    <w:p>
      <w:pPr>
        <w:pStyle w:val="6"/>
        <w:numPr>
          <w:ilvl w:val="0"/>
          <w:numId w:val="15"/>
        </w:numPr>
        <w:spacing w:line="360" w:lineRule="auto"/>
        <w:ind w:firstLineChars="0"/>
        <w:rPr>
          <w:rFonts w:ascii="宋体" w:hAnsi="宋体" w:eastAsia="宋体"/>
          <w:sz w:val="24"/>
          <w:szCs w:val="24"/>
        </w:rPr>
      </w:pPr>
      <w:r>
        <w:rPr>
          <w:rFonts w:hint="eastAsia" w:ascii="宋体" w:hAnsi="宋体" w:eastAsia="宋体"/>
          <w:sz w:val="24"/>
          <w:szCs w:val="24"/>
        </w:rPr>
        <w:t>部门的标牌是否可能暴露受试者不愿他人知晓的健康信息。</w:t>
      </w:r>
    </w:p>
    <w:p>
      <w:pPr>
        <w:pStyle w:val="6"/>
        <w:numPr>
          <w:ilvl w:val="0"/>
          <w:numId w:val="49"/>
        </w:numPr>
        <w:spacing w:line="360" w:lineRule="auto"/>
        <w:ind w:firstLineChars="0"/>
        <w:rPr>
          <w:rFonts w:ascii="宋体" w:hAnsi="宋体" w:eastAsia="宋体"/>
          <w:sz w:val="24"/>
          <w:szCs w:val="24"/>
        </w:rPr>
      </w:pPr>
      <w:r>
        <w:rPr>
          <w:rFonts w:hint="eastAsia" w:ascii="宋体" w:hAnsi="宋体" w:eastAsia="宋体"/>
          <w:sz w:val="24"/>
          <w:szCs w:val="24"/>
        </w:rPr>
        <w:t>报告研究数据时，以受试者鉴认代码代替受试者姓名及其他身份信息。</w:t>
      </w:r>
    </w:p>
    <w:p>
      <w:pPr>
        <w:pStyle w:val="6"/>
        <w:numPr>
          <w:ilvl w:val="0"/>
          <w:numId w:val="49"/>
        </w:numPr>
        <w:spacing w:line="360" w:lineRule="auto"/>
        <w:ind w:firstLineChars="0"/>
        <w:rPr>
          <w:rFonts w:ascii="宋体" w:hAnsi="宋体" w:eastAsia="宋体"/>
          <w:sz w:val="24"/>
          <w:szCs w:val="24"/>
        </w:rPr>
      </w:pPr>
      <w:r>
        <w:rPr>
          <w:rFonts w:hint="eastAsia" w:ascii="宋体" w:hAnsi="宋体" w:eastAsia="宋体"/>
          <w:sz w:val="24"/>
          <w:szCs w:val="24"/>
        </w:rPr>
        <w:t>发布临床研究结果时隐藏受试者身份信息。</w:t>
      </w:r>
    </w:p>
    <w:p>
      <w:pPr>
        <w:pStyle w:val="6"/>
        <w:numPr>
          <w:ilvl w:val="0"/>
          <w:numId w:val="49"/>
        </w:numPr>
        <w:spacing w:line="360" w:lineRule="auto"/>
        <w:ind w:firstLineChars="0"/>
        <w:rPr>
          <w:rFonts w:ascii="宋体" w:hAnsi="宋体" w:eastAsia="宋体"/>
          <w:sz w:val="24"/>
          <w:szCs w:val="24"/>
        </w:rPr>
      </w:pPr>
      <w:r>
        <w:rPr>
          <w:rFonts w:hint="eastAsia" w:ascii="宋体" w:hAnsi="宋体" w:eastAsia="宋体"/>
          <w:sz w:val="24"/>
          <w:szCs w:val="24"/>
        </w:rPr>
        <w:t>告知受试者：保密程度受到法律和其他规定的限制，例如，申办者的监查稽查、伦理委员会和政府监管部门的检查具有研究信息的直接查阅权；法定传染病的依法报告。</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敏感信息的收集：例如，与“性”相关的敏感问题，应当在相对私密的环境下，由临床主治医师或性别相同的研究者收集信息，如果有可能，采用书面的问卷方式获取信息，而不是人与人之间的直接问答方式。</w:t>
      </w:r>
    </w:p>
    <w:p>
      <w:pPr>
        <w:spacing w:line="360" w:lineRule="auto"/>
        <w:ind w:firstLine="482" w:firstLineChars="200"/>
        <w:rPr>
          <w:rFonts w:ascii="宋体" w:hAnsi="宋体" w:eastAsia="宋体"/>
          <w:b/>
          <w:bCs/>
          <w:sz w:val="24"/>
          <w:szCs w:val="24"/>
        </w:rPr>
      </w:pPr>
    </w:p>
    <w:p>
      <w:pPr>
        <w:spacing w:line="360" w:lineRule="auto"/>
        <w:ind w:firstLine="482" w:firstLineChars="200"/>
        <w:rPr>
          <w:rFonts w:ascii="宋体" w:hAnsi="宋体" w:eastAsia="宋体"/>
          <w:b/>
          <w:bCs/>
          <w:sz w:val="24"/>
          <w:szCs w:val="24"/>
        </w:rPr>
      </w:pP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七、可识别数据的保密</w:t>
      </w:r>
    </w:p>
    <w:p>
      <w:pPr>
        <w:spacing w:line="360" w:lineRule="auto"/>
        <w:ind w:firstLine="0" w:firstLineChars="0"/>
        <w:rPr>
          <w:rFonts w:hint="eastAsia" w:ascii="宋体" w:hAnsi="宋体" w:eastAsia="宋体"/>
          <w:sz w:val="24"/>
          <w:szCs w:val="24"/>
          <w:shd w:val="clear"/>
        </w:rPr>
      </w:pPr>
      <w:r>
        <w:rPr>
          <w:rFonts w:hint="eastAsia" w:ascii="宋体" w:hAnsi="宋体" w:eastAsia="宋体"/>
          <w:sz w:val="24"/>
          <w:szCs w:val="24"/>
          <w:shd w:val="clear"/>
        </w:rPr>
        <w:t xml:space="preserve">标准：伦理委员会应当审查并确认在适当的情况下，研究有合适的规定以维护数据的机密性。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这是伦理审查同意研究的标准之一。伦理委员会应当审查研究是否满足该标准。伦理委员会的委员应当知晓如何应用该标准。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保密是指维护研究者与受试者通过知情同意书，就如何使用、管理和传播可识别身份数据所达成的一致。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保密与隐私保护的区别：隐私保护与可识别数据的保密都涉及私人身份和健康相关信息，但前者侧重在保护个人不愿他人知晓或干涉的私人信息，后者侧重在维护与受试者就保护可识别数据的机密性所达成的一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伦理委员会委员应当知晓保护可识别身份数据、特别是敏感数据机密性的策略，包括对数据的存储、处理与分享的控制。</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1.适当的情况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凡是涉及可识别身份数据的研究，应当采取合适的保密措施。</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2.合适的维护数据机密性规定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伦理委员会应当根据研究的具体情况，判断研究方案中保护可识别身份数据机密性的措施是否合适。伦理委员会对保密的审查需要考虑：</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数据库：</w:t>
      </w:r>
    </w:p>
    <w:p>
      <w:pPr>
        <w:pStyle w:val="6"/>
        <w:numPr>
          <w:ilvl w:val="0"/>
          <w:numId w:val="50"/>
        </w:numPr>
        <w:spacing w:line="360" w:lineRule="auto"/>
        <w:ind w:firstLineChars="0"/>
        <w:rPr>
          <w:rFonts w:ascii="宋体" w:hAnsi="宋体" w:eastAsia="宋体"/>
          <w:sz w:val="24"/>
          <w:szCs w:val="24"/>
        </w:rPr>
      </w:pPr>
      <w:r>
        <w:rPr>
          <w:rFonts w:hint="eastAsia" w:ascii="宋体" w:hAnsi="宋体" w:eastAsia="宋体"/>
          <w:sz w:val="24"/>
          <w:szCs w:val="24"/>
        </w:rPr>
        <w:t>收集和存储受试者的数据仅仅是为了研究目的，而不是其他目的。</w:t>
      </w:r>
    </w:p>
    <w:p>
      <w:pPr>
        <w:pStyle w:val="6"/>
        <w:numPr>
          <w:ilvl w:val="0"/>
          <w:numId w:val="51"/>
        </w:numPr>
        <w:spacing w:line="360" w:lineRule="auto"/>
        <w:ind w:firstLineChars="0"/>
        <w:rPr>
          <w:rFonts w:ascii="宋体" w:hAnsi="宋体" w:eastAsia="宋体"/>
          <w:sz w:val="24"/>
          <w:szCs w:val="24"/>
        </w:rPr>
      </w:pPr>
      <w:r>
        <w:rPr>
          <w:rFonts w:hint="eastAsia" w:ascii="宋体" w:hAnsi="宋体" w:eastAsia="宋体"/>
          <w:sz w:val="24"/>
          <w:szCs w:val="24"/>
        </w:rPr>
        <w:t>计算机化系统具有完善的权限管理，未经授权的人员不能访问。</w:t>
      </w:r>
    </w:p>
    <w:p>
      <w:pPr>
        <w:pStyle w:val="6"/>
        <w:numPr>
          <w:ilvl w:val="0"/>
          <w:numId w:val="52"/>
        </w:numPr>
        <w:spacing w:line="360" w:lineRule="auto"/>
        <w:ind w:firstLineChars="0"/>
        <w:rPr>
          <w:rFonts w:ascii="宋体" w:hAnsi="宋体" w:eastAsia="宋体"/>
          <w:sz w:val="24"/>
          <w:szCs w:val="24"/>
        </w:rPr>
      </w:pPr>
      <w:r>
        <w:rPr>
          <w:rFonts w:hint="eastAsia" w:ascii="宋体" w:hAnsi="宋体" w:eastAsia="宋体"/>
          <w:sz w:val="24"/>
          <w:szCs w:val="24"/>
        </w:rPr>
        <w:t>存储在数据库中的数据必须匿名或编码。</w:t>
      </w:r>
    </w:p>
    <w:p>
      <w:pPr>
        <w:pStyle w:val="6"/>
        <w:numPr>
          <w:ilvl w:val="0"/>
          <w:numId w:val="53"/>
        </w:numPr>
        <w:spacing w:line="360" w:lineRule="auto"/>
        <w:ind w:firstLineChars="0"/>
        <w:rPr>
          <w:rFonts w:ascii="宋体" w:hAnsi="宋体" w:eastAsia="宋体"/>
          <w:sz w:val="24"/>
          <w:szCs w:val="24"/>
        </w:rPr>
      </w:pPr>
      <w:r>
        <w:rPr>
          <w:rFonts w:hint="eastAsia" w:ascii="宋体" w:hAnsi="宋体" w:eastAsia="宋体"/>
          <w:sz w:val="24"/>
          <w:szCs w:val="24"/>
        </w:rPr>
        <w:t>仅以匿名或编码的方式向研究人员、申办者提供数据。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生物标本库：</w:t>
      </w:r>
    </w:p>
    <w:p>
      <w:pPr>
        <w:pStyle w:val="6"/>
        <w:numPr>
          <w:ilvl w:val="0"/>
          <w:numId w:val="53"/>
        </w:numPr>
        <w:spacing w:line="360" w:lineRule="auto"/>
        <w:ind w:firstLineChars="0"/>
        <w:rPr>
          <w:rFonts w:ascii="宋体" w:hAnsi="宋体" w:eastAsia="宋体"/>
          <w:sz w:val="24"/>
          <w:szCs w:val="24"/>
        </w:rPr>
      </w:pPr>
      <w:r>
        <w:rPr>
          <w:rFonts w:ascii="宋体" w:hAnsi="宋体" w:eastAsia="宋体"/>
          <w:sz w:val="24"/>
          <w:szCs w:val="24"/>
        </w:rPr>
        <w:t>存储在生物标本库的标本，采用安全编码隐藏受试者的个人身份信息。</w:t>
      </w:r>
    </w:p>
    <w:p>
      <w:pPr>
        <w:pStyle w:val="6"/>
        <w:numPr>
          <w:ilvl w:val="0"/>
          <w:numId w:val="53"/>
        </w:numPr>
        <w:spacing w:line="360" w:lineRule="auto"/>
        <w:ind w:firstLineChars="0"/>
        <w:rPr>
          <w:rFonts w:ascii="宋体" w:hAnsi="宋体" w:eastAsia="宋体"/>
          <w:sz w:val="24"/>
          <w:szCs w:val="24"/>
        </w:rPr>
      </w:pPr>
      <w:r>
        <w:rPr>
          <w:rFonts w:hint="eastAsia" w:ascii="宋体" w:hAnsi="宋体" w:eastAsia="宋体"/>
          <w:sz w:val="24"/>
          <w:szCs w:val="24"/>
        </w:rPr>
        <w:t>仅以匿名或编码的方式向研究人员提供生物标本。</w:t>
      </w:r>
    </w:p>
    <w:p>
      <w:pPr>
        <w:pStyle w:val="6"/>
        <w:numPr>
          <w:ilvl w:val="0"/>
          <w:numId w:val="53"/>
        </w:numPr>
        <w:spacing w:line="360" w:lineRule="auto"/>
        <w:ind w:firstLineChars="0"/>
        <w:rPr>
          <w:rFonts w:ascii="宋体" w:hAnsi="宋体" w:eastAsia="宋体"/>
          <w:sz w:val="24"/>
          <w:szCs w:val="24"/>
        </w:rPr>
      </w:pPr>
      <w:r>
        <w:rPr>
          <w:rFonts w:hint="eastAsia" w:ascii="宋体" w:hAnsi="宋体" w:eastAsia="宋体"/>
          <w:sz w:val="24"/>
          <w:szCs w:val="24"/>
        </w:rPr>
        <w:t>未经受试者同意，其个人的遗传疾病检验结果不会透露给其直系亲属。</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发表研究结果：</w:t>
      </w:r>
    </w:p>
    <w:p>
      <w:pPr>
        <w:pStyle w:val="6"/>
        <w:numPr>
          <w:ilvl w:val="0"/>
          <w:numId w:val="54"/>
        </w:numPr>
        <w:spacing w:line="360" w:lineRule="auto"/>
        <w:ind w:firstLineChars="0"/>
        <w:rPr>
          <w:rFonts w:ascii="宋体" w:hAnsi="宋体" w:eastAsia="宋体"/>
          <w:sz w:val="24"/>
          <w:szCs w:val="24"/>
        </w:rPr>
      </w:pPr>
      <w:r>
        <w:rPr>
          <w:rFonts w:hint="eastAsia" w:ascii="宋体" w:hAnsi="宋体" w:eastAsia="宋体"/>
          <w:sz w:val="24"/>
          <w:szCs w:val="24"/>
        </w:rPr>
        <w:t>如果发布临床研究结果，受试者的身份信息仍将保密。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ascii="宋体" w:hAnsi="宋体" w:eastAsia="宋体"/>
          <w:sz w:val="24"/>
          <w:szCs w:val="24"/>
        </w:rPr>
        <w:t>HIV 疫苗临床试验：参加HIV疫苗临床试验可以使受试者血液艾滋病病毒抗体阳性，</w:t>
      </w:r>
      <w:r>
        <w:rPr>
          <w:rFonts w:hint="eastAsia" w:ascii="宋体" w:hAnsi="宋体" w:eastAsia="宋体"/>
          <w:sz w:val="24"/>
          <w:szCs w:val="24"/>
        </w:rPr>
        <w:t>可能被认作艾滋病病毒感染者而受到社会歧视。一方面，研究应当维护可识别身份数据的机密性，另一方面，研究必须为疫苗临床试验的受试者提供证明，使他们在需要时能够表明，他们的艾滋病病毒血清阳性是由于接种疫苗而不是自然感染所致。</w:t>
      </w:r>
    </w:p>
    <w:p>
      <w:pPr>
        <w:spacing w:line="360" w:lineRule="auto"/>
        <w:ind w:firstLine="480" w:firstLineChars="200"/>
        <w:rPr>
          <w:rFonts w:ascii="宋体" w:hAnsi="宋体" w:eastAsia="宋体"/>
          <w:sz w:val="24"/>
          <w:szCs w:val="24"/>
        </w:rPr>
      </w:pP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八、弱势人群的附加保护</w:t>
      </w:r>
    </w:p>
    <w:p>
      <w:pPr>
        <w:spacing w:line="360" w:lineRule="auto"/>
        <w:ind w:firstLine="0" w:firstLineChars="0"/>
        <w:rPr>
          <w:rFonts w:hint="eastAsia" w:ascii="宋体" w:hAnsi="宋体" w:eastAsia="宋体"/>
          <w:sz w:val="24"/>
          <w:szCs w:val="24"/>
          <w:shd w:val="clear"/>
        </w:rPr>
      </w:pPr>
      <w:r>
        <w:rPr>
          <w:rFonts w:hint="eastAsia" w:ascii="宋体" w:hAnsi="宋体" w:eastAsia="宋体"/>
          <w:sz w:val="24"/>
          <w:szCs w:val="24"/>
          <w:shd w:val="clear"/>
        </w:rPr>
        <w:t xml:space="preserve">标准：伦理委员会应当审查并确认当部分或所有受试者可能容易受到胁迫或不当影响时，研究包括附加的保护措施，以保护这些受试者的权益和安全。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这是伦理审查同意研究的标准之一。伦理委员会应当审查研究是否满足该标准。伦理委员会的委员应当知晓如何应用该标准。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弱势的个人或群体是指维护自身意愿和权利的能力不足或者丧失的受试者，其自愿参加临床研究的意愿，有可能被参与研究预期的利益或者拒绝参加可能被报复而受到不正当影响。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弱势人群包括：</w:t>
      </w:r>
    </w:p>
    <w:p>
      <w:pPr>
        <w:pStyle w:val="6"/>
        <w:numPr>
          <w:ilvl w:val="0"/>
          <w:numId w:val="54"/>
        </w:numPr>
        <w:spacing w:line="360" w:lineRule="auto"/>
        <w:ind w:firstLineChars="0"/>
        <w:rPr>
          <w:rFonts w:ascii="宋体" w:hAnsi="宋体" w:eastAsia="宋体"/>
          <w:sz w:val="24"/>
          <w:szCs w:val="24"/>
        </w:rPr>
      </w:pPr>
      <w:r>
        <w:rPr>
          <w:rFonts w:hint="eastAsia" w:ascii="宋体" w:hAnsi="宋体" w:eastAsia="宋体"/>
          <w:sz w:val="24"/>
          <w:szCs w:val="24"/>
        </w:rPr>
        <w:t>没有能力给予知情同意的人。例如，没有知情同意能力的成人，未成年人。</w:t>
      </w:r>
    </w:p>
    <w:p>
      <w:pPr>
        <w:pStyle w:val="6"/>
        <w:numPr>
          <w:ilvl w:val="0"/>
          <w:numId w:val="54"/>
        </w:numPr>
        <w:spacing w:line="360" w:lineRule="auto"/>
        <w:ind w:firstLineChars="0"/>
        <w:rPr>
          <w:rFonts w:ascii="宋体" w:hAnsi="宋体" w:eastAsia="宋体"/>
          <w:sz w:val="24"/>
          <w:szCs w:val="24"/>
        </w:rPr>
      </w:pPr>
      <w:r>
        <w:rPr>
          <w:rFonts w:hint="eastAsia" w:ascii="宋体" w:hAnsi="宋体" w:eastAsia="宋体"/>
          <w:sz w:val="24"/>
          <w:szCs w:val="24"/>
        </w:rPr>
        <w:t>容易受到胁迫或不正当影响的人。例如，等级群体中处于从属地位成员；接受社会福利或社会救济的人、穷人和失业者；将参与研究视为获得医疗服务唯一途径的人；患有不治之症或患有被污名化疾病的人；服刑人员，无政治权利的人；不熟悉现代医学理念的人。</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1.涉及弱势人群的研究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伦理委员会应当审查研究是否涉及弱势的个人或群体。如果受试人群中有部分或全部涉及此类受试者，应当分析使受试者“弱势”的具体因素（例如，同意的能力，经济地位低下，行为受到限制的人等），需要采取哪些针对性的附加保护措施，评估方案现有的保护措施是否充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弱势因素的分析与针对性的附加保护措施：例如，一个广泛接受的弱势标准是参与研究的同意或拒绝同意的能力有限。针对性的保护措施有：获取监护人的许可，作为受试者同意的补充；对受试者没有直接获益的研究，风险不得超过最低风险；研究目的是针对弱势人群的健康需求（参见下面：</w:t>
      </w:r>
      <w:r>
        <w:rPr>
          <w:rFonts w:ascii="宋体" w:hAnsi="宋体" w:eastAsia="宋体"/>
          <w:sz w:val="24"/>
          <w:szCs w:val="24"/>
        </w:rPr>
        <w:t>2.涉及无知情同意能力成人研究的附加保护，3.涉及儿童和青少</w:t>
      </w:r>
      <w:r>
        <w:rPr>
          <w:rFonts w:hint="eastAsia" w:ascii="宋体" w:hAnsi="宋体" w:eastAsia="宋体"/>
          <w:sz w:val="24"/>
          <w:szCs w:val="24"/>
        </w:rPr>
        <w:t>年研究的附加保护）。再如，涉及亲密伴侣暴力和强奸的调查和访谈，有此类经历的妇女参加访谈可能引致精神痛苦，如果违反保密性可能会对她们造成严重危害（如报复，社会歧视）。可以考虑采取的针对性的保护措施有：选择家庭以外确保私密的场所进行访谈；研究团队中有可以随时提供心理咨询的人员。</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2.涉及无知情同意能力成人研究的附加保护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知情同意：</w:t>
      </w:r>
    </w:p>
    <w:p>
      <w:pPr>
        <w:pStyle w:val="6"/>
        <w:numPr>
          <w:ilvl w:val="0"/>
          <w:numId w:val="55"/>
        </w:numPr>
        <w:spacing w:line="360" w:lineRule="auto"/>
        <w:ind w:firstLineChars="0"/>
        <w:rPr>
          <w:rFonts w:ascii="宋体" w:hAnsi="宋体" w:eastAsia="宋体"/>
          <w:sz w:val="24"/>
          <w:szCs w:val="24"/>
        </w:rPr>
      </w:pPr>
      <w:r>
        <w:rPr>
          <w:rFonts w:hint="eastAsia" w:ascii="宋体" w:hAnsi="宋体" w:eastAsia="宋体"/>
          <w:sz w:val="24"/>
          <w:szCs w:val="24"/>
        </w:rPr>
        <w:t>无能力给予知情同意的人的监护人已经给予许可，该许可考虑了受试者以前形成的偏好和价值观（如果有的话）；并且，针对受试者理解信息的能力，提供了充分的研究信息，获得了与受试者能力相符的同意（赞同）。</w:t>
      </w:r>
    </w:p>
    <w:p>
      <w:pPr>
        <w:pStyle w:val="6"/>
        <w:numPr>
          <w:ilvl w:val="0"/>
          <w:numId w:val="56"/>
        </w:numPr>
        <w:spacing w:line="360" w:lineRule="auto"/>
        <w:ind w:firstLineChars="0"/>
        <w:rPr>
          <w:rFonts w:ascii="宋体" w:hAnsi="宋体" w:eastAsia="宋体"/>
          <w:sz w:val="24"/>
          <w:szCs w:val="24"/>
        </w:rPr>
      </w:pPr>
      <w:r>
        <w:rPr>
          <w:rFonts w:hint="eastAsia" w:ascii="宋体" w:hAnsi="宋体" w:eastAsia="宋体"/>
          <w:sz w:val="24"/>
          <w:szCs w:val="24"/>
        </w:rPr>
        <w:t>如受试者在研究过程中具备了给予知情同意的能力，则必须获得其对继续参加研究的同意。</w:t>
      </w:r>
    </w:p>
    <w:p>
      <w:pPr>
        <w:pStyle w:val="6"/>
        <w:numPr>
          <w:ilvl w:val="0"/>
          <w:numId w:val="57"/>
        </w:numPr>
        <w:spacing w:line="360" w:lineRule="auto"/>
        <w:ind w:firstLineChars="0"/>
        <w:rPr>
          <w:rFonts w:ascii="宋体" w:hAnsi="宋体" w:eastAsia="宋体"/>
          <w:sz w:val="24"/>
          <w:szCs w:val="24"/>
        </w:rPr>
      </w:pPr>
      <w:r>
        <w:rPr>
          <w:rFonts w:hint="eastAsia" w:ascii="宋体" w:hAnsi="宋体" w:eastAsia="宋体"/>
          <w:sz w:val="24"/>
          <w:szCs w:val="24"/>
        </w:rPr>
        <w:t>作为一般规则，潜在受试者拒绝参加研究必须得到尊重，除非在特殊情况下，参加研究被认为是无能力给予知情同意的个人可获得的最佳医疗选择。</w:t>
      </w:r>
    </w:p>
    <w:p>
      <w:pPr>
        <w:pStyle w:val="6"/>
        <w:numPr>
          <w:ilvl w:val="0"/>
          <w:numId w:val="58"/>
        </w:numPr>
        <w:spacing w:line="360" w:lineRule="auto"/>
        <w:ind w:firstLineChars="0"/>
        <w:rPr>
          <w:rFonts w:ascii="宋体" w:hAnsi="宋体" w:eastAsia="宋体"/>
          <w:sz w:val="24"/>
          <w:szCs w:val="24"/>
        </w:rPr>
      </w:pPr>
      <w:r>
        <w:rPr>
          <w:rFonts w:hint="eastAsia" w:ascii="宋体" w:hAnsi="宋体" w:eastAsia="宋体"/>
          <w:sz w:val="24"/>
          <w:szCs w:val="24"/>
        </w:rPr>
        <w:t>如果受试者在完全有能力给予知情同意的情况下做出参加研究书面的预先指示，则应遵守该指示。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风险可以接受的条件：</w:t>
      </w:r>
    </w:p>
    <w:p>
      <w:pPr>
        <w:pStyle w:val="6"/>
        <w:numPr>
          <w:ilvl w:val="0"/>
          <w:numId w:val="58"/>
        </w:numPr>
        <w:spacing w:line="360" w:lineRule="auto"/>
        <w:ind w:firstLineChars="0"/>
        <w:rPr>
          <w:rFonts w:ascii="宋体" w:hAnsi="宋体" w:eastAsia="宋体"/>
          <w:sz w:val="24"/>
          <w:szCs w:val="24"/>
        </w:rPr>
      </w:pPr>
      <w:r>
        <w:rPr>
          <w:rFonts w:hint="eastAsia" w:ascii="宋体" w:hAnsi="宋体" w:eastAsia="宋体"/>
          <w:sz w:val="24"/>
          <w:szCs w:val="24"/>
        </w:rPr>
        <w:t>对无知情同意能力的成人具有潜在获益的研究干预或程序：</w:t>
      </w:r>
    </w:p>
    <w:p>
      <w:pPr>
        <w:pStyle w:val="6"/>
        <w:numPr>
          <w:ilvl w:val="0"/>
          <w:numId w:val="58"/>
        </w:numPr>
        <w:spacing w:line="360" w:lineRule="auto"/>
        <w:ind w:firstLineChars="0"/>
        <w:rPr>
          <w:rFonts w:ascii="宋体" w:hAnsi="宋体" w:eastAsia="宋体"/>
          <w:sz w:val="24"/>
          <w:szCs w:val="24"/>
        </w:rPr>
      </w:pPr>
      <w:r>
        <w:rPr>
          <w:rFonts w:hint="eastAsia" w:ascii="宋体" w:hAnsi="宋体" w:eastAsia="宋体"/>
          <w:sz w:val="24"/>
          <w:szCs w:val="24"/>
        </w:rPr>
        <w:t>风险必须最小化。</w:t>
      </w:r>
    </w:p>
    <w:p>
      <w:pPr>
        <w:pStyle w:val="6"/>
        <w:numPr>
          <w:ilvl w:val="0"/>
          <w:numId w:val="59"/>
        </w:numPr>
        <w:spacing w:line="360" w:lineRule="auto"/>
        <w:ind w:firstLineChars="0"/>
        <w:rPr>
          <w:rFonts w:ascii="宋体" w:hAnsi="宋体" w:eastAsia="宋体"/>
          <w:sz w:val="24"/>
          <w:szCs w:val="24"/>
        </w:rPr>
      </w:pPr>
      <w:r>
        <w:rPr>
          <w:rFonts w:hint="eastAsia" w:ascii="宋体" w:hAnsi="宋体" w:eastAsia="宋体"/>
          <w:sz w:val="24"/>
          <w:szCs w:val="24"/>
        </w:rPr>
        <w:t>预期的潜在个人获益应当超过风险。</w:t>
      </w:r>
    </w:p>
    <w:p>
      <w:pPr>
        <w:pStyle w:val="6"/>
        <w:numPr>
          <w:ilvl w:val="0"/>
          <w:numId w:val="58"/>
        </w:numPr>
        <w:spacing w:line="360" w:lineRule="auto"/>
        <w:ind w:firstLineChars="0"/>
        <w:rPr>
          <w:rFonts w:ascii="宋体" w:hAnsi="宋体" w:eastAsia="宋体"/>
          <w:sz w:val="24"/>
          <w:szCs w:val="24"/>
        </w:rPr>
      </w:pPr>
      <w:r>
        <w:rPr>
          <w:rFonts w:hint="eastAsia" w:ascii="宋体" w:hAnsi="宋体" w:eastAsia="宋体"/>
          <w:sz w:val="24"/>
          <w:szCs w:val="24"/>
        </w:rPr>
        <w:t>对无知情同意能力的成人没有潜在个人获益的研究干预或程序：</w:t>
      </w:r>
    </w:p>
    <w:p>
      <w:pPr>
        <w:pStyle w:val="6"/>
        <w:numPr>
          <w:ilvl w:val="0"/>
          <w:numId w:val="60"/>
        </w:numPr>
        <w:spacing w:line="360" w:lineRule="auto"/>
        <w:ind w:firstLineChars="0"/>
        <w:rPr>
          <w:rFonts w:ascii="宋体" w:hAnsi="宋体" w:eastAsia="宋体"/>
          <w:sz w:val="24"/>
          <w:szCs w:val="24"/>
        </w:rPr>
      </w:pPr>
      <w:r>
        <w:rPr>
          <w:rFonts w:hint="eastAsia" w:ascii="宋体" w:hAnsi="宋体" w:eastAsia="宋体"/>
          <w:sz w:val="24"/>
          <w:szCs w:val="24"/>
        </w:rPr>
        <w:t>如果研究干预和程序的目标疾病人群包括无知情同意能力的人和具有知情同意能力的人，应当首先在具有知情同意能力的人群中研究该干预和程序，除非如果没有无知情同意能力者参加就无法获得所需的数据；并且，</w:t>
      </w:r>
    </w:p>
    <w:p>
      <w:pPr>
        <w:pStyle w:val="6"/>
        <w:numPr>
          <w:ilvl w:val="0"/>
          <w:numId w:val="61"/>
        </w:numPr>
        <w:spacing w:line="360" w:lineRule="auto"/>
        <w:ind w:firstLineChars="0"/>
        <w:rPr>
          <w:rFonts w:ascii="宋体" w:hAnsi="宋体" w:eastAsia="宋体"/>
          <w:sz w:val="24"/>
          <w:szCs w:val="24"/>
        </w:rPr>
      </w:pPr>
      <w:r>
        <w:rPr>
          <w:rFonts w:hint="eastAsia" w:ascii="宋体" w:hAnsi="宋体" w:eastAsia="宋体"/>
          <w:sz w:val="24"/>
          <w:szCs w:val="24"/>
        </w:rPr>
        <w:t>风险必须最小化，且风险程度不得超过最低风险。当此类研究的干预和程序的社会价值是令人信服的，并且研究不能在具有知情同意能力者中进行，伦理委员会可以允许风险稍高于最低风险。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如何判断风险稍高于最低风险：稍高于最低风险没有准确的定义，应当确保风险的增量仅仅是在最低风险临界值上“稍有增加“，并经理性的判断是可以接受的。伦理委员会判断稍高于最低风险应当仔细关注研究的背景，根据他们所审查项目的具体情况，判断最低风险的稍有增加的意义。</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3.涉及儿童和青少年研究的附加保护</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知情同意：</w:t>
      </w:r>
    </w:p>
    <w:p>
      <w:pPr>
        <w:pStyle w:val="6"/>
        <w:numPr>
          <w:ilvl w:val="0"/>
          <w:numId w:val="58"/>
        </w:numPr>
        <w:spacing w:line="360" w:lineRule="auto"/>
        <w:ind w:firstLineChars="0"/>
        <w:rPr>
          <w:rFonts w:ascii="宋体" w:hAnsi="宋体" w:eastAsia="宋体"/>
          <w:sz w:val="24"/>
          <w:szCs w:val="24"/>
        </w:rPr>
      </w:pPr>
      <w:r>
        <w:rPr>
          <w:rFonts w:hint="eastAsia" w:ascii="宋体" w:hAnsi="宋体" w:eastAsia="宋体"/>
          <w:sz w:val="24"/>
          <w:szCs w:val="24"/>
        </w:rPr>
        <w:t>儿童或青少年的父母或监护人已给予许可；并且，提供足够的、根据儿童或青少年发育程度定制的研究信息之后，获得与儿童或青少年能力相符的同意（赞同）。</w:t>
      </w:r>
    </w:p>
    <w:p>
      <w:pPr>
        <w:pStyle w:val="6"/>
        <w:numPr>
          <w:ilvl w:val="0"/>
          <w:numId w:val="58"/>
        </w:numPr>
        <w:spacing w:line="360" w:lineRule="auto"/>
        <w:ind w:firstLineChars="0"/>
        <w:rPr>
          <w:rFonts w:ascii="宋体" w:hAnsi="宋体" w:eastAsia="宋体"/>
          <w:sz w:val="24"/>
          <w:szCs w:val="24"/>
        </w:rPr>
      </w:pPr>
      <w:r>
        <w:rPr>
          <w:rFonts w:hint="eastAsia" w:ascii="宋体" w:hAnsi="宋体" w:eastAsia="宋体"/>
          <w:sz w:val="24"/>
          <w:szCs w:val="24"/>
        </w:rPr>
        <w:t>如果未成年人在研究期间达到法定成人年龄，应当获得他们对继续参加研究的同意。</w:t>
      </w:r>
    </w:p>
    <w:p>
      <w:pPr>
        <w:pStyle w:val="6"/>
        <w:numPr>
          <w:ilvl w:val="0"/>
          <w:numId w:val="58"/>
        </w:numPr>
        <w:spacing w:line="360" w:lineRule="auto"/>
        <w:ind w:firstLineChars="0"/>
        <w:rPr>
          <w:rFonts w:ascii="宋体" w:hAnsi="宋体" w:eastAsia="宋体"/>
          <w:sz w:val="24"/>
          <w:szCs w:val="24"/>
        </w:rPr>
      </w:pPr>
      <w:r>
        <w:rPr>
          <w:rFonts w:hint="eastAsia" w:ascii="宋体" w:hAnsi="宋体" w:eastAsia="宋体"/>
          <w:sz w:val="24"/>
          <w:szCs w:val="24"/>
        </w:rPr>
        <w:t>作为一般规则，儿童或青少年拒绝参加或拒绝继续参加研究必须得到尊重，除非在特殊情况下，参加研究被认为是儿童或青少年的最佳医疗选择。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风险可以接受的条件：</w:t>
      </w:r>
    </w:p>
    <w:p>
      <w:pPr>
        <w:pStyle w:val="6"/>
        <w:numPr>
          <w:ilvl w:val="0"/>
          <w:numId w:val="62"/>
        </w:numPr>
        <w:spacing w:line="360" w:lineRule="auto"/>
        <w:ind w:firstLineChars="0"/>
        <w:rPr>
          <w:rFonts w:ascii="宋体" w:hAnsi="宋体" w:eastAsia="宋体"/>
          <w:sz w:val="24"/>
          <w:szCs w:val="24"/>
        </w:rPr>
      </w:pPr>
      <w:r>
        <w:rPr>
          <w:rFonts w:hint="eastAsia" w:ascii="宋体" w:hAnsi="宋体" w:eastAsia="宋体"/>
          <w:sz w:val="24"/>
          <w:szCs w:val="24"/>
        </w:rPr>
        <w:t>对儿童或青少年具有潜在获益的研究干预或程序：</w:t>
      </w:r>
    </w:p>
    <w:p>
      <w:pPr>
        <w:pStyle w:val="6"/>
        <w:numPr>
          <w:ilvl w:val="0"/>
          <w:numId w:val="61"/>
        </w:numPr>
        <w:spacing w:line="360" w:lineRule="auto"/>
        <w:ind w:firstLineChars="0"/>
        <w:rPr>
          <w:rFonts w:ascii="宋体" w:hAnsi="宋体" w:eastAsia="宋体"/>
          <w:sz w:val="24"/>
          <w:szCs w:val="24"/>
        </w:rPr>
      </w:pPr>
      <w:r>
        <w:rPr>
          <w:rFonts w:hint="eastAsia" w:ascii="宋体" w:hAnsi="宋体" w:eastAsia="宋体"/>
          <w:sz w:val="24"/>
          <w:szCs w:val="24"/>
        </w:rPr>
        <w:t>风险必须最小化。</w:t>
      </w:r>
    </w:p>
    <w:p>
      <w:pPr>
        <w:pStyle w:val="6"/>
        <w:numPr>
          <w:ilvl w:val="0"/>
          <w:numId w:val="61"/>
        </w:numPr>
        <w:spacing w:line="360" w:lineRule="auto"/>
        <w:ind w:firstLineChars="0"/>
        <w:rPr>
          <w:rFonts w:ascii="宋体" w:hAnsi="宋体" w:eastAsia="宋体"/>
          <w:sz w:val="24"/>
          <w:szCs w:val="24"/>
        </w:rPr>
      </w:pPr>
      <w:r>
        <w:rPr>
          <w:rFonts w:hint="eastAsia" w:ascii="宋体" w:hAnsi="宋体" w:eastAsia="宋体"/>
          <w:sz w:val="24"/>
          <w:szCs w:val="24"/>
        </w:rPr>
        <w:t>预期的潜在个人获益应当超过风险。</w:t>
      </w:r>
    </w:p>
    <w:p>
      <w:pPr>
        <w:pStyle w:val="6"/>
        <w:numPr>
          <w:ilvl w:val="0"/>
          <w:numId w:val="62"/>
        </w:numPr>
        <w:spacing w:line="360" w:lineRule="auto"/>
        <w:ind w:firstLineChars="0"/>
        <w:rPr>
          <w:rFonts w:ascii="宋体" w:hAnsi="宋体" w:eastAsia="宋体"/>
          <w:sz w:val="24"/>
          <w:szCs w:val="24"/>
        </w:rPr>
      </w:pPr>
      <w:r>
        <w:rPr>
          <w:rFonts w:hint="eastAsia" w:ascii="宋体" w:hAnsi="宋体" w:eastAsia="宋体"/>
          <w:sz w:val="24"/>
          <w:szCs w:val="24"/>
        </w:rPr>
        <w:t>对儿童或青少年没有潜在个人获益的研究干预或程序：</w:t>
      </w:r>
    </w:p>
    <w:p>
      <w:pPr>
        <w:pStyle w:val="6"/>
        <w:numPr>
          <w:ilvl w:val="0"/>
          <w:numId w:val="63"/>
        </w:numPr>
        <w:spacing w:line="360" w:lineRule="auto"/>
        <w:ind w:firstLineChars="0"/>
        <w:rPr>
          <w:rFonts w:ascii="宋体" w:hAnsi="宋体" w:eastAsia="宋体"/>
          <w:sz w:val="24"/>
          <w:szCs w:val="24"/>
        </w:rPr>
      </w:pPr>
      <w:r>
        <w:rPr>
          <w:rFonts w:hint="eastAsia" w:ascii="宋体" w:hAnsi="宋体" w:eastAsia="宋体"/>
          <w:sz w:val="24"/>
          <w:szCs w:val="24"/>
        </w:rPr>
        <w:t>如果研究干预和程序的目标疾病人群包括成人以及儿童和青少年，应当首先在成年人中研究该干预和程序，除非如果没有儿童或青少年参加就无法获得所需的数据；并且，</w:t>
      </w:r>
    </w:p>
    <w:p>
      <w:pPr>
        <w:pStyle w:val="6"/>
        <w:numPr>
          <w:ilvl w:val="0"/>
          <w:numId w:val="63"/>
        </w:numPr>
        <w:spacing w:line="360" w:lineRule="auto"/>
        <w:ind w:firstLineChars="0"/>
        <w:rPr>
          <w:rFonts w:ascii="宋体" w:hAnsi="宋体" w:eastAsia="宋体"/>
          <w:sz w:val="24"/>
          <w:szCs w:val="24"/>
        </w:rPr>
      </w:pPr>
      <w:r>
        <w:rPr>
          <w:rFonts w:hint="eastAsia" w:ascii="宋体" w:hAnsi="宋体" w:eastAsia="宋体"/>
          <w:sz w:val="24"/>
          <w:szCs w:val="24"/>
        </w:rPr>
        <w:t>风险必须最小化，且风险程度不得超过最低风险。当此类研究的干预和程序的社会价值是令人信服的，并且研究不能在成人中进行，伦理委员会可以允许风险稍高于最低风险。</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4.妇女作为研究受试者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知情同意：</w:t>
      </w:r>
    </w:p>
    <w:p>
      <w:pPr>
        <w:pStyle w:val="6"/>
        <w:numPr>
          <w:ilvl w:val="0"/>
          <w:numId w:val="62"/>
        </w:numPr>
        <w:spacing w:line="360" w:lineRule="auto"/>
        <w:ind w:firstLineChars="0"/>
        <w:rPr>
          <w:rFonts w:ascii="宋体" w:hAnsi="宋体" w:eastAsia="宋体"/>
          <w:sz w:val="24"/>
          <w:szCs w:val="24"/>
        </w:rPr>
      </w:pPr>
      <w:r>
        <w:rPr>
          <w:rFonts w:hint="eastAsia" w:ascii="宋体" w:hAnsi="宋体" w:eastAsia="宋体"/>
          <w:sz w:val="24"/>
          <w:szCs w:val="24"/>
        </w:rPr>
        <w:t>在某些社会文化状态下，缺乏对妇女自主权的尊重，例如妇女参与研究需要得到配偶的授权。但是，在任何情况下都不能以他人的同意取代妇女个人的知情同意。妇女必须有足够的时间和适当的环境来决定是否参与研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风险控制：</w:t>
      </w:r>
    </w:p>
    <w:p>
      <w:pPr>
        <w:pStyle w:val="6"/>
        <w:numPr>
          <w:ilvl w:val="0"/>
          <w:numId w:val="62"/>
        </w:numPr>
        <w:spacing w:line="360" w:lineRule="auto"/>
        <w:ind w:firstLineChars="0"/>
        <w:rPr>
          <w:rFonts w:ascii="宋体" w:hAnsi="宋体" w:eastAsia="宋体"/>
          <w:sz w:val="24"/>
          <w:szCs w:val="24"/>
        </w:rPr>
      </w:pPr>
      <w:r>
        <w:rPr>
          <w:rFonts w:hint="eastAsia" w:ascii="宋体" w:hAnsi="宋体" w:eastAsia="宋体"/>
          <w:sz w:val="24"/>
          <w:szCs w:val="24"/>
        </w:rPr>
        <w:t>纳入育龄妇女的研究</w:t>
      </w:r>
    </w:p>
    <w:p>
      <w:pPr>
        <w:pStyle w:val="6"/>
        <w:numPr>
          <w:ilvl w:val="0"/>
          <w:numId w:val="64"/>
        </w:numPr>
        <w:spacing w:line="360" w:lineRule="auto"/>
        <w:ind w:firstLineChars="0"/>
        <w:rPr>
          <w:rFonts w:ascii="宋体" w:hAnsi="宋体" w:eastAsia="宋体"/>
          <w:sz w:val="24"/>
          <w:szCs w:val="24"/>
        </w:rPr>
      </w:pPr>
      <w:r>
        <w:rPr>
          <w:rFonts w:hint="eastAsia" w:ascii="宋体" w:hAnsi="宋体" w:eastAsia="宋体"/>
          <w:sz w:val="24"/>
          <w:szCs w:val="24"/>
        </w:rPr>
        <w:t>必须事先告知育龄妇女，如果她们在参加研究期间怀孕，对胎儿可能存在的风险。</w:t>
      </w:r>
    </w:p>
    <w:p>
      <w:pPr>
        <w:pStyle w:val="6"/>
        <w:numPr>
          <w:ilvl w:val="0"/>
          <w:numId w:val="64"/>
        </w:numPr>
        <w:spacing w:line="360" w:lineRule="auto"/>
        <w:ind w:firstLineChars="0"/>
        <w:rPr>
          <w:rFonts w:ascii="宋体" w:hAnsi="宋体" w:eastAsia="宋体"/>
          <w:sz w:val="24"/>
          <w:szCs w:val="24"/>
        </w:rPr>
      </w:pPr>
      <w:r>
        <w:rPr>
          <w:rFonts w:hint="eastAsia" w:ascii="宋体" w:hAnsi="宋体" w:eastAsia="宋体"/>
          <w:sz w:val="24"/>
          <w:szCs w:val="24"/>
        </w:rPr>
        <w:t>已知某种药物或生物制品具有致突变性或致畸性：应当确保育龄妇女接受干预之前经过妊娠试验，可以获得有效的避孕方法，以及安全合法的人工流产保障。</w:t>
      </w:r>
    </w:p>
    <w:p>
      <w:pPr>
        <w:pStyle w:val="6"/>
        <w:numPr>
          <w:ilvl w:val="0"/>
          <w:numId w:val="62"/>
        </w:numPr>
        <w:spacing w:line="360" w:lineRule="auto"/>
        <w:ind w:firstLineChars="0"/>
        <w:rPr>
          <w:rFonts w:ascii="宋体" w:hAnsi="宋体" w:eastAsia="宋体"/>
          <w:sz w:val="24"/>
          <w:szCs w:val="24"/>
        </w:rPr>
      </w:pPr>
      <w:r>
        <w:rPr>
          <w:rFonts w:hint="eastAsia" w:ascii="宋体" w:hAnsi="宋体" w:eastAsia="宋体"/>
          <w:sz w:val="24"/>
          <w:szCs w:val="24"/>
        </w:rPr>
        <w:t>研究期间怀孕</w:t>
      </w:r>
    </w:p>
    <w:p>
      <w:pPr>
        <w:pStyle w:val="6"/>
        <w:numPr>
          <w:ilvl w:val="0"/>
          <w:numId w:val="65"/>
        </w:numPr>
        <w:spacing w:line="360" w:lineRule="auto"/>
        <w:ind w:firstLineChars="0"/>
        <w:rPr>
          <w:rFonts w:ascii="宋体" w:hAnsi="宋体" w:eastAsia="宋体"/>
          <w:sz w:val="24"/>
          <w:szCs w:val="24"/>
        </w:rPr>
      </w:pPr>
      <w:r>
        <w:rPr>
          <w:rFonts w:hint="eastAsia" w:ascii="宋体" w:hAnsi="宋体" w:eastAsia="宋体"/>
          <w:sz w:val="24"/>
          <w:szCs w:val="24"/>
        </w:rPr>
        <w:t>已知某种药物或生物制品具有致突变性或致畸性：知情同意应当告知，如果意外怀孕，必须退出研究，并对其在怀孕和分娩期间进行跟踪随访和提供护理。同时，必须为胎儿提供诊断性检查，如果发现胎儿异常，孕妇希望流产，则可为其安排流产。</w:t>
      </w:r>
    </w:p>
    <w:p>
      <w:pPr>
        <w:pStyle w:val="6"/>
        <w:numPr>
          <w:ilvl w:val="0"/>
          <w:numId w:val="65"/>
        </w:numPr>
        <w:spacing w:line="360" w:lineRule="auto"/>
        <w:ind w:firstLineChars="0"/>
        <w:rPr>
          <w:rFonts w:ascii="宋体" w:hAnsi="宋体" w:eastAsia="宋体"/>
          <w:sz w:val="24"/>
          <w:szCs w:val="24"/>
        </w:rPr>
      </w:pPr>
      <w:r>
        <w:rPr>
          <w:rFonts w:hint="eastAsia" w:ascii="宋体" w:hAnsi="宋体" w:eastAsia="宋体"/>
          <w:sz w:val="24"/>
          <w:szCs w:val="24"/>
        </w:rPr>
        <w:t>如果没有证据表明研究干预对胎儿有潜在风险，不应机械地将意外怀孕的妇女从研究中退出，而应向其提供继续参加研究还是退出参加研究的选择。如果女性选择继续参加研究，研究人员和申办者必须提供足够的监测和支持。在某些情况下，合适的做法是让妇女留在研究中进行安全性监测，但不再服用研究药物。</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5.孕妇和哺乳妇女作为研究受试者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知情同意：</w:t>
      </w:r>
    </w:p>
    <w:p>
      <w:pPr>
        <w:pStyle w:val="6"/>
        <w:numPr>
          <w:ilvl w:val="0"/>
          <w:numId w:val="62"/>
        </w:numPr>
        <w:spacing w:line="360" w:lineRule="auto"/>
        <w:ind w:firstLineChars="0"/>
        <w:rPr>
          <w:rFonts w:ascii="宋体" w:hAnsi="宋体" w:eastAsia="宋体"/>
          <w:sz w:val="24"/>
          <w:szCs w:val="24"/>
        </w:rPr>
      </w:pPr>
      <w:r>
        <w:rPr>
          <w:rFonts w:hint="eastAsia" w:ascii="宋体" w:hAnsi="宋体" w:eastAsia="宋体"/>
          <w:sz w:val="24"/>
          <w:szCs w:val="24"/>
        </w:rPr>
        <w:t>告知研究给她们自身、妊娠、胎儿及其后代带来的风险。</w:t>
      </w:r>
    </w:p>
    <w:p>
      <w:pPr>
        <w:pStyle w:val="6"/>
        <w:numPr>
          <w:ilvl w:val="0"/>
          <w:numId w:val="62"/>
        </w:numPr>
        <w:spacing w:line="360" w:lineRule="auto"/>
        <w:ind w:firstLineChars="0"/>
        <w:rPr>
          <w:rFonts w:ascii="宋体" w:hAnsi="宋体" w:eastAsia="宋体"/>
          <w:sz w:val="24"/>
          <w:szCs w:val="24"/>
        </w:rPr>
      </w:pPr>
      <w:r>
        <w:rPr>
          <w:rFonts w:hint="eastAsia" w:ascii="宋体" w:hAnsi="宋体" w:eastAsia="宋体"/>
          <w:sz w:val="24"/>
          <w:szCs w:val="24"/>
        </w:rPr>
        <w:t>告知所采取的潜在个人获益最大化和风险最小化的措施。</w:t>
      </w:r>
    </w:p>
    <w:p>
      <w:pPr>
        <w:pStyle w:val="6"/>
        <w:numPr>
          <w:ilvl w:val="0"/>
          <w:numId w:val="62"/>
        </w:numPr>
        <w:spacing w:line="360" w:lineRule="auto"/>
        <w:ind w:firstLineChars="0"/>
        <w:rPr>
          <w:rFonts w:ascii="宋体" w:hAnsi="宋体" w:eastAsia="宋体"/>
          <w:sz w:val="24"/>
          <w:szCs w:val="24"/>
        </w:rPr>
      </w:pPr>
      <w:r>
        <w:rPr>
          <w:rFonts w:hint="eastAsia" w:ascii="宋体" w:hAnsi="宋体" w:eastAsia="宋体"/>
          <w:sz w:val="24"/>
          <w:szCs w:val="24"/>
        </w:rPr>
        <w:t>告知有关风险的证据可能是未知的或有争议的，而且通常很难对胎儿或婴儿的异常</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确定因果关系。</w:t>
      </w:r>
    </w:p>
    <w:p>
      <w:pPr>
        <w:pStyle w:val="6"/>
        <w:numPr>
          <w:ilvl w:val="0"/>
          <w:numId w:val="66"/>
        </w:numPr>
        <w:spacing w:line="360" w:lineRule="auto"/>
        <w:ind w:firstLineChars="0"/>
        <w:rPr>
          <w:rFonts w:ascii="宋体" w:hAnsi="宋体" w:eastAsia="宋体"/>
          <w:sz w:val="24"/>
          <w:szCs w:val="24"/>
        </w:rPr>
      </w:pPr>
      <w:r>
        <w:rPr>
          <w:rFonts w:hint="eastAsia" w:ascii="宋体" w:hAnsi="宋体" w:eastAsia="宋体"/>
          <w:sz w:val="24"/>
          <w:szCs w:val="24"/>
        </w:rPr>
        <w:t>在任何情况下，不得以其他人的许可取代孕妇或哺乳妇女自己的知情同意决定。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风险可以接受的条件：</w:t>
      </w:r>
    </w:p>
    <w:p>
      <w:pPr>
        <w:pStyle w:val="6"/>
        <w:numPr>
          <w:ilvl w:val="0"/>
          <w:numId w:val="66"/>
        </w:numPr>
        <w:spacing w:line="360" w:lineRule="auto"/>
        <w:ind w:firstLineChars="0"/>
        <w:rPr>
          <w:rFonts w:ascii="宋体" w:hAnsi="宋体" w:eastAsia="宋体"/>
          <w:sz w:val="24"/>
          <w:szCs w:val="24"/>
        </w:rPr>
      </w:pPr>
      <w:r>
        <w:rPr>
          <w:rFonts w:hint="eastAsia" w:ascii="宋体" w:hAnsi="宋体" w:eastAsia="宋体"/>
          <w:sz w:val="24"/>
          <w:szCs w:val="24"/>
        </w:rPr>
        <w:t>对孕妇、哺乳妇女、胎儿或婴儿具有潜在获益的研究干预或程序：</w:t>
      </w:r>
    </w:p>
    <w:p>
      <w:pPr>
        <w:pStyle w:val="6"/>
        <w:numPr>
          <w:ilvl w:val="0"/>
          <w:numId w:val="67"/>
        </w:numPr>
        <w:spacing w:line="360" w:lineRule="auto"/>
        <w:ind w:firstLineChars="0"/>
        <w:rPr>
          <w:rFonts w:ascii="宋体" w:hAnsi="宋体" w:eastAsia="宋体"/>
          <w:sz w:val="24"/>
          <w:szCs w:val="24"/>
        </w:rPr>
      </w:pPr>
      <w:r>
        <w:rPr>
          <w:rFonts w:hint="eastAsia" w:ascii="宋体" w:hAnsi="宋体" w:eastAsia="宋体"/>
          <w:sz w:val="24"/>
          <w:szCs w:val="24"/>
        </w:rPr>
        <w:t>风险必须最小化。</w:t>
      </w:r>
    </w:p>
    <w:p>
      <w:pPr>
        <w:pStyle w:val="6"/>
        <w:numPr>
          <w:ilvl w:val="0"/>
          <w:numId w:val="67"/>
        </w:numPr>
        <w:spacing w:line="360" w:lineRule="auto"/>
        <w:ind w:firstLineChars="0"/>
        <w:rPr>
          <w:rFonts w:ascii="宋体" w:hAnsi="宋体" w:eastAsia="宋体"/>
          <w:sz w:val="24"/>
          <w:szCs w:val="24"/>
        </w:rPr>
      </w:pPr>
      <w:r>
        <w:rPr>
          <w:rFonts w:hint="eastAsia" w:ascii="宋体" w:hAnsi="宋体" w:eastAsia="宋体"/>
          <w:sz w:val="24"/>
          <w:szCs w:val="24"/>
        </w:rPr>
        <w:t>预期的潜在个人获益应当超过风险。</w:t>
      </w:r>
    </w:p>
    <w:p>
      <w:pPr>
        <w:pStyle w:val="6"/>
        <w:numPr>
          <w:ilvl w:val="0"/>
          <w:numId w:val="66"/>
        </w:numPr>
        <w:spacing w:line="360" w:lineRule="auto"/>
        <w:ind w:firstLineChars="0"/>
        <w:rPr>
          <w:rFonts w:ascii="宋体" w:hAnsi="宋体" w:eastAsia="宋体"/>
          <w:sz w:val="24"/>
          <w:szCs w:val="24"/>
        </w:rPr>
      </w:pPr>
      <w:r>
        <w:rPr>
          <w:rFonts w:hint="eastAsia" w:ascii="宋体" w:hAnsi="宋体" w:eastAsia="宋体"/>
          <w:sz w:val="24"/>
          <w:szCs w:val="24"/>
        </w:rPr>
        <w:t>对孕妇和哺乳妇女没有潜在个人获益的研究干预或程序：</w:t>
      </w:r>
    </w:p>
    <w:p>
      <w:pPr>
        <w:pStyle w:val="6"/>
        <w:numPr>
          <w:ilvl w:val="0"/>
          <w:numId w:val="68"/>
        </w:numPr>
        <w:spacing w:line="360" w:lineRule="auto"/>
        <w:ind w:firstLineChars="0"/>
        <w:rPr>
          <w:rFonts w:ascii="宋体" w:hAnsi="宋体" w:eastAsia="宋体"/>
          <w:sz w:val="24"/>
          <w:szCs w:val="24"/>
        </w:rPr>
      </w:pPr>
      <w:r>
        <w:rPr>
          <w:rFonts w:hint="eastAsia" w:ascii="宋体" w:hAnsi="宋体" w:eastAsia="宋体"/>
          <w:sz w:val="24"/>
          <w:szCs w:val="24"/>
        </w:rPr>
        <w:t>研究目的是获得孕妇、哺乳妇女、胎儿或婴儿特定健康需求的知识；并且，</w:t>
      </w:r>
    </w:p>
    <w:p>
      <w:pPr>
        <w:pStyle w:val="6"/>
        <w:numPr>
          <w:ilvl w:val="0"/>
          <w:numId w:val="68"/>
        </w:numPr>
        <w:spacing w:line="360" w:lineRule="auto"/>
        <w:ind w:firstLineChars="0"/>
        <w:rPr>
          <w:rFonts w:ascii="宋体" w:hAnsi="宋体" w:eastAsia="宋体"/>
          <w:sz w:val="24"/>
          <w:szCs w:val="24"/>
        </w:rPr>
      </w:pPr>
      <w:r>
        <w:rPr>
          <w:rFonts w:hint="eastAsia" w:ascii="宋体" w:hAnsi="宋体" w:eastAsia="宋体"/>
          <w:sz w:val="24"/>
          <w:szCs w:val="24"/>
        </w:rPr>
        <w:t>风险必须最小化，且风险程度不得超过最低风险。当涉及孕妇、哺乳妇女、胎儿或婴儿的研究的社会价值是令人信服的，并且研究不能在非妊娠或非母乳喂养的妇女中进行，伦理委员会可以允许风险稍高于最低风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风险的复杂性：孕妇和哺乳期妇女参与研究是一个复杂的问题，研究可能给胎儿和孕妇本身带来风险，或可能给哺乳期婴儿构成风险。因此，必须对临床前妊娠动物模型研究，非孕妇的研究，回顾性观察研究和妊娠登记中所获得的最佳数据仔细审查考量之后，才能启动涉及孕妇和哺乳期妇女的研究。</w:t>
      </w:r>
    </w:p>
    <w:p>
      <w:pPr>
        <w:spacing w:line="360" w:lineRule="auto"/>
        <w:ind w:firstLine="482" w:firstLineChars="200"/>
        <w:rPr>
          <w:rFonts w:ascii="宋体" w:hAnsi="宋体" w:eastAsia="宋体"/>
          <w:b/>
          <w:bCs/>
          <w:sz w:val="24"/>
          <w:szCs w:val="24"/>
        </w:rPr>
      </w:pPr>
      <w:r>
        <w:rPr>
          <w:rFonts w:ascii="宋体" w:hAnsi="宋体" w:eastAsia="宋体"/>
          <w:b/>
          <w:bCs/>
          <w:sz w:val="24"/>
          <w:szCs w:val="24"/>
        </w:rPr>
        <w:t>6.紧急情况下，预计有许多患者将没有能力给予同意的研究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突然发生的疾病状况使得患者没有能力给予知情同意，但有必要在疾病发作后尽早进行研究干预，以评价研究干预的效果。此类研究应当获得患者的监护人的知情同意。如果监护人不在场，根据我国的执业医师法，不允许在未获得患者或其监护人知情同意的情况下将患者纳入研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举例说明：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预嘱（事先同意）：某些导致意识不清的病症是周期性的，例如癫痫发作和嗜酒，如有可能，识别这些人群，最好在他们具有完全知情同意能力时与潜在受试者联系，并获得其同意在其未来丧失能力时参与研究。</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rPr>
          <w:rFonts w:ascii="宋体" w:hAnsi="宋体" w:eastAsia="宋体"/>
          <w:sz w:val="24"/>
          <w:szCs w:val="24"/>
        </w:rPr>
      </w:pPr>
    </w:p>
    <w:sectPr>
      <w:headerReference r:id="rId3" w:type="default"/>
      <w:footerReference r:id="rId4" w:type="default"/>
      <w:pgSz w:w="11906" w:h="16838"/>
      <w:pgMar w:top="1418" w:right="1418" w:bottom="1418" w:left="1418" w:header="851" w:footer="850" w:gutter="45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33</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561C7C"/>
    <w:multiLevelType w:val="multilevel"/>
    <w:tmpl w:val="07561C7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092D2D46"/>
    <w:multiLevelType w:val="multilevel"/>
    <w:tmpl w:val="092D2D4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113976B5"/>
    <w:multiLevelType w:val="multilevel"/>
    <w:tmpl w:val="113976B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1141303E"/>
    <w:multiLevelType w:val="multilevel"/>
    <w:tmpl w:val="1141303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11CA251F"/>
    <w:multiLevelType w:val="multilevel"/>
    <w:tmpl w:val="11CA251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127D6AE6"/>
    <w:multiLevelType w:val="multilevel"/>
    <w:tmpl w:val="127D6AE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13845B26"/>
    <w:multiLevelType w:val="multilevel"/>
    <w:tmpl w:val="13845B2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16E7481A"/>
    <w:multiLevelType w:val="multilevel"/>
    <w:tmpl w:val="16E7481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17B70C97"/>
    <w:multiLevelType w:val="multilevel"/>
    <w:tmpl w:val="17B70C9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17EC5DB2"/>
    <w:multiLevelType w:val="multilevel"/>
    <w:tmpl w:val="17EC5DB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18650AFD"/>
    <w:multiLevelType w:val="multilevel"/>
    <w:tmpl w:val="18650AFD"/>
    <w:lvl w:ilvl="0" w:tentative="0">
      <w:start w:val="1"/>
      <w:numFmt w:val="bullet"/>
      <w:lvlText w:val=""/>
      <w:lvlJc w:val="left"/>
      <w:pPr>
        <w:ind w:left="1380" w:hanging="420"/>
      </w:pPr>
      <w:rPr>
        <w:rFonts w:hint="default" w:ascii="Wingdings" w:hAnsi="Wingdings"/>
      </w:rPr>
    </w:lvl>
    <w:lvl w:ilvl="1" w:tentative="0">
      <w:start w:val="1"/>
      <w:numFmt w:val="bullet"/>
      <w:lvlText w:val=""/>
      <w:lvlJc w:val="left"/>
      <w:pPr>
        <w:ind w:left="1800" w:hanging="420"/>
      </w:pPr>
      <w:rPr>
        <w:rFonts w:hint="default" w:ascii="Wingdings" w:hAnsi="Wingdings"/>
      </w:rPr>
    </w:lvl>
    <w:lvl w:ilvl="2" w:tentative="0">
      <w:start w:val="1"/>
      <w:numFmt w:val="bullet"/>
      <w:lvlText w:val=""/>
      <w:lvlJc w:val="left"/>
      <w:pPr>
        <w:ind w:left="2220" w:hanging="420"/>
      </w:pPr>
      <w:rPr>
        <w:rFonts w:hint="default" w:ascii="Wingdings" w:hAnsi="Wingdings"/>
      </w:rPr>
    </w:lvl>
    <w:lvl w:ilvl="3" w:tentative="0">
      <w:start w:val="1"/>
      <w:numFmt w:val="bullet"/>
      <w:lvlText w:val=""/>
      <w:lvlJc w:val="left"/>
      <w:pPr>
        <w:ind w:left="2640" w:hanging="420"/>
      </w:pPr>
      <w:rPr>
        <w:rFonts w:hint="default" w:ascii="Wingdings" w:hAnsi="Wingdings"/>
      </w:rPr>
    </w:lvl>
    <w:lvl w:ilvl="4" w:tentative="0">
      <w:start w:val="1"/>
      <w:numFmt w:val="bullet"/>
      <w:lvlText w:val=""/>
      <w:lvlJc w:val="left"/>
      <w:pPr>
        <w:ind w:left="3060" w:hanging="420"/>
      </w:pPr>
      <w:rPr>
        <w:rFonts w:hint="default" w:ascii="Wingdings" w:hAnsi="Wingdings"/>
      </w:rPr>
    </w:lvl>
    <w:lvl w:ilvl="5" w:tentative="0">
      <w:start w:val="1"/>
      <w:numFmt w:val="bullet"/>
      <w:lvlText w:val=""/>
      <w:lvlJc w:val="left"/>
      <w:pPr>
        <w:ind w:left="3480" w:hanging="420"/>
      </w:pPr>
      <w:rPr>
        <w:rFonts w:hint="default" w:ascii="Wingdings" w:hAnsi="Wingdings"/>
      </w:rPr>
    </w:lvl>
    <w:lvl w:ilvl="6" w:tentative="0">
      <w:start w:val="1"/>
      <w:numFmt w:val="bullet"/>
      <w:lvlText w:val=""/>
      <w:lvlJc w:val="left"/>
      <w:pPr>
        <w:ind w:left="3900" w:hanging="420"/>
      </w:pPr>
      <w:rPr>
        <w:rFonts w:hint="default" w:ascii="Wingdings" w:hAnsi="Wingdings"/>
      </w:rPr>
    </w:lvl>
    <w:lvl w:ilvl="7" w:tentative="0">
      <w:start w:val="1"/>
      <w:numFmt w:val="bullet"/>
      <w:lvlText w:val=""/>
      <w:lvlJc w:val="left"/>
      <w:pPr>
        <w:ind w:left="4320" w:hanging="420"/>
      </w:pPr>
      <w:rPr>
        <w:rFonts w:hint="default" w:ascii="Wingdings" w:hAnsi="Wingdings"/>
      </w:rPr>
    </w:lvl>
    <w:lvl w:ilvl="8" w:tentative="0">
      <w:start w:val="1"/>
      <w:numFmt w:val="bullet"/>
      <w:lvlText w:val=""/>
      <w:lvlJc w:val="left"/>
      <w:pPr>
        <w:ind w:left="4740" w:hanging="420"/>
      </w:pPr>
      <w:rPr>
        <w:rFonts w:hint="default" w:ascii="Wingdings" w:hAnsi="Wingdings"/>
      </w:rPr>
    </w:lvl>
  </w:abstractNum>
  <w:abstractNum w:abstractNumId="11">
    <w:nsid w:val="19270FC8"/>
    <w:multiLevelType w:val="multilevel"/>
    <w:tmpl w:val="19270FC8"/>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2">
    <w:nsid w:val="19464932"/>
    <w:multiLevelType w:val="multilevel"/>
    <w:tmpl w:val="1946493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3">
    <w:nsid w:val="197607F8"/>
    <w:multiLevelType w:val="multilevel"/>
    <w:tmpl w:val="197607F8"/>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4">
    <w:nsid w:val="1A630785"/>
    <w:multiLevelType w:val="multilevel"/>
    <w:tmpl w:val="1A63078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5">
    <w:nsid w:val="1BA6709C"/>
    <w:multiLevelType w:val="multilevel"/>
    <w:tmpl w:val="1BA6709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6">
    <w:nsid w:val="1BEB3A35"/>
    <w:multiLevelType w:val="multilevel"/>
    <w:tmpl w:val="1BEB3A3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7">
    <w:nsid w:val="1F2E59C6"/>
    <w:multiLevelType w:val="multilevel"/>
    <w:tmpl w:val="1F2E59C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8">
    <w:nsid w:val="1FDF5619"/>
    <w:multiLevelType w:val="multilevel"/>
    <w:tmpl w:val="1FDF561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9">
    <w:nsid w:val="22CB725F"/>
    <w:multiLevelType w:val="multilevel"/>
    <w:tmpl w:val="22CB725F"/>
    <w:lvl w:ilvl="0" w:tentative="0">
      <w:start w:val="1"/>
      <w:numFmt w:val="bullet"/>
      <w:lvlText w:val=""/>
      <w:lvlJc w:val="left"/>
      <w:pPr>
        <w:ind w:left="1380" w:hanging="420"/>
      </w:pPr>
      <w:rPr>
        <w:rFonts w:hint="default" w:ascii="Wingdings" w:hAnsi="Wingdings"/>
      </w:rPr>
    </w:lvl>
    <w:lvl w:ilvl="1" w:tentative="0">
      <w:start w:val="1"/>
      <w:numFmt w:val="bullet"/>
      <w:lvlText w:val=""/>
      <w:lvlJc w:val="left"/>
      <w:pPr>
        <w:ind w:left="1800" w:hanging="420"/>
      </w:pPr>
      <w:rPr>
        <w:rFonts w:hint="default" w:ascii="Wingdings" w:hAnsi="Wingdings"/>
      </w:rPr>
    </w:lvl>
    <w:lvl w:ilvl="2" w:tentative="0">
      <w:start w:val="1"/>
      <w:numFmt w:val="bullet"/>
      <w:lvlText w:val=""/>
      <w:lvlJc w:val="left"/>
      <w:pPr>
        <w:ind w:left="2220" w:hanging="420"/>
      </w:pPr>
      <w:rPr>
        <w:rFonts w:hint="default" w:ascii="Wingdings" w:hAnsi="Wingdings"/>
      </w:rPr>
    </w:lvl>
    <w:lvl w:ilvl="3" w:tentative="0">
      <w:start w:val="1"/>
      <w:numFmt w:val="bullet"/>
      <w:lvlText w:val=""/>
      <w:lvlJc w:val="left"/>
      <w:pPr>
        <w:ind w:left="2640" w:hanging="420"/>
      </w:pPr>
      <w:rPr>
        <w:rFonts w:hint="default" w:ascii="Wingdings" w:hAnsi="Wingdings"/>
      </w:rPr>
    </w:lvl>
    <w:lvl w:ilvl="4" w:tentative="0">
      <w:start w:val="1"/>
      <w:numFmt w:val="bullet"/>
      <w:lvlText w:val=""/>
      <w:lvlJc w:val="left"/>
      <w:pPr>
        <w:ind w:left="3060" w:hanging="420"/>
      </w:pPr>
      <w:rPr>
        <w:rFonts w:hint="default" w:ascii="Wingdings" w:hAnsi="Wingdings"/>
      </w:rPr>
    </w:lvl>
    <w:lvl w:ilvl="5" w:tentative="0">
      <w:start w:val="1"/>
      <w:numFmt w:val="bullet"/>
      <w:lvlText w:val=""/>
      <w:lvlJc w:val="left"/>
      <w:pPr>
        <w:ind w:left="3480" w:hanging="420"/>
      </w:pPr>
      <w:rPr>
        <w:rFonts w:hint="default" w:ascii="Wingdings" w:hAnsi="Wingdings"/>
      </w:rPr>
    </w:lvl>
    <w:lvl w:ilvl="6" w:tentative="0">
      <w:start w:val="1"/>
      <w:numFmt w:val="bullet"/>
      <w:lvlText w:val=""/>
      <w:lvlJc w:val="left"/>
      <w:pPr>
        <w:ind w:left="3900" w:hanging="420"/>
      </w:pPr>
      <w:rPr>
        <w:rFonts w:hint="default" w:ascii="Wingdings" w:hAnsi="Wingdings"/>
      </w:rPr>
    </w:lvl>
    <w:lvl w:ilvl="7" w:tentative="0">
      <w:start w:val="1"/>
      <w:numFmt w:val="bullet"/>
      <w:lvlText w:val=""/>
      <w:lvlJc w:val="left"/>
      <w:pPr>
        <w:ind w:left="4320" w:hanging="420"/>
      </w:pPr>
      <w:rPr>
        <w:rFonts w:hint="default" w:ascii="Wingdings" w:hAnsi="Wingdings"/>
      </w:rPr>
    </w:lvl>
    <w:lvl w:ilvl="8" w:tentative="0">
      <w:start w:val="1"/>
      <w:numFmt w:val="bullet"/>
      <w:lvlText w:val=""/>
      <w:lvlJc w:val="left"/>
      <w:pPr>
        <w:ind w:left="4740" w:hanging="420"/>
      </w:pPr>
      <w:rPr>
        <w:rFonts w:hint="default" w:ascii="Wingdings" w:hAnsi="Wingdings"/>
      </w:rPr>
    </w:lvl>
  </w:abstractNum>
  <w:abstractNum w:abstractNumId="20">
    <w:nsid w:val="23884A81"/>
    <w:multiLevelType w:val="multilevel"/>
    <w:tmpl w:val="23884A8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1">
    <w:nsid w:val="2830639A"/>
    <w:multiLevelType w:val="multilevel"/>
    <w:tmpl w:val="2830639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2">
    <w:nsid w:val="28BD113E"/>
    <w:multiLevelType w:val="multilevel"/>
    <w:tmpl w:val="28BD113E"/>
    <w:lvl w:ilvl="0" w:tentative="0">
      <w:start w:val="1"/>
      <w:numFmt w:val="bullet"/>
      <w:lvlText w:val=""/>
      <w:lvlJc w:val="left"/>
      <w:pPr>
        <w:ind w:left="1380" w:hanging="420"/>
      </w:pPr>
      <w:rPr>
        <w:rFonts w:hint="default" w:ascii="Wingdings" w:hAnsi="Wingdings"/>
      </w:rPr>
    </w:lvl>
    <w:lvl w:ilvl="1" w:tentative="0">
      <w:start w:val="1"/>
      <w:numFmt w:val="bullet"/>
      <w:lvlText w:val=""/>
      <w:lvlJc w:val="left"/>
      <w:pPr>
        <w:ind w:left="1800" w:hanging="420"/>
      </w:pPr>
      <w:rPr>
        <w:rFonts w:hint="default" w:ascii="Wingdings" w:hAnsi="Wingdings"/>
      </w:rPr>
    </w:lvl>
    <w:lvl w:ilvl="2" w:tentative="0">
      <w:start w:val="1"/>
      <w:numFmt w:val="bullet"/>
      <w:lvlText w:val=""/>
      <w:lvlJc w:val="left"/>
      <w:pPr>
        <w:ind w:left="2220" w:hanging="420"/>
      </w:pPr>
      <w:rPr>
        <w:rFonts w:hint="default" w:ascii="Wingdings" w:hAnsi="Wingdings"/>
      </w:rPr>
    </w:lvl>
    <w:lvl w:ilvl="3" w:tentative="0">
      <w:start w:val="1"/>
      <w:numFmt w:val="bullet"/>
      <w:lvlText w:val=""/>
      <w:lvlJc w:val="left"/>
      <w:pPr>
        <w:ind w:left="2640" w:hanging="420"/>
      </w:pPr>
      <w:rPr>
        <w:rFonts w:hint="default" w:ascii="Wingdings" w:hAnsi="Wingdings"/>
      </w:rPr>
    </w:lvl>
    <w:lvl w:ilvl="4" w:tentative="0">
      <w:start w:val="1"/>
      <w:numFmt w:val="bullet"/>
      <w:lvlText w:val=""/>
      <w:lvlJc w:val="left"/>
      <w:pPr>
        <w:ind w:left="3060" w:hanging="420"/>
      </w:pPr>
      <w:rPr>
        <w:rFonts w:hint="default" w:ascii="Wingdings" w:hAnsi="Wingdings"/>
      </w:rPr>
    </w:lvl>
    <w:lvl w:ilvl="5" w:tentative="0">
      <w:start w:val="1"/>
      <w:numFmt w:val="bullet"/>
      <w:lvlText w:val=""/>
      <w:lvlJc w:val="left"/>
      <w:pPr>
        <w:ind w:left="3480" w:hanging="420"/>
      </w:pPr>
      <w:rPr>
        <w:rFonts w:hint="default" w:ascii="Wingdings" w:hAnsi="Wingdings"/>
      </w:rPr>
    </w:lvl>
    <w:lvl w:ilvl="6" w:tentative="0">
      <w:start w:val="1"/>
      <w:numFmt w:val="bullet"/>
      <w:lvlText w:val=""/>
      <w:lvlJc w:val="left"/>
      <w:pPr>
        <w:ind w:left="3900" w:hanging="420"/>
      </w:pPr>
      <w:rPr>
        <w:rFonts w:hint="default" w:ascii="Wingdings" w:hAnsi="Wingdings"/>
      </w:rPr>
    </w:lvl>
    <w:lvl w:ilvl="7" w:tentative="0">
      <w:start w:val="1"/>
      <w:numFmt w:val="bullet"/>
      <w:lvlText w:val=""/>
      <w:lvlJc w:val="left"/>
      <w:pPr>
        <w:ind w:left="4320" w:hanging="420"/>
      </w:pPr>
      <w:rPr>
        <w:rFonts w:hint="default" w:ascii="Wingdings" w:hAnsi="Wingdings"/>
      </w:rPr>
    </w:lvl>
    <w:lvl w:ilvl="8" w:tentative="0">
      <w:start w:val="1"/>
      <w:numFmt w:val="bullet"/>
      <w:lvlText w:val=""/>
      <w:lvlJc w:val="left"/>
      <w:pPr>
        <w:ind w:left="4740" w:hanging="420"/>
      </w:pPr>
      <w:rPr>
        <w:rFonts w:hint="default" w:ascii="Wingdings" w:hAnsi="Wingdings"/>
      </w:rPr>
    </w:lvl>
  </w:abstractNum>
  <w:abstractNum w:abstractNumId="23">
    <w:nsid w:val="2A646F37"/>
    <w:multiLevelType w:val="multilevel"/>
    <w:tmpl w:val="2A646F3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4">
    <w:nsid w:val="2A69330C"/>
    <w:multiLevelType w:val="multilevel"/>
    <w:tmpl w:val="2A69330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5">
    <w:nsid w:val="2BCB4AD3"/>
    <w:multiLevelType w:val="multilevel"/>
    <w:tmpl w:val="2BCB4AD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6">
    <w:nsid w:val="2D4142FC"/>
    <w:multiLevelType w:val="multilevel"/>
    <w:tmpl w:val="2D4142F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7">
    <w:nsid w:val="2D612F5F"/>
    <w:multiLevelType w:val="multilevel"/>
    <w:tmpl w:val="2D612F5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8">
    <w:nsid w:val="2DA25513"/>
    <w:multiLevelType w:val="multilevel"/>
    <w:tmpl w:val="2DA25513"/>
    <w:lvl w:ilvl="0" w:tentative="0">
      <w:start w:val="1"/>
      <w:numFmt w:val="bullet"/>
      <w:lvlText w:val=""/>
      <w:lvlJc w:val="left"/>
      <w:pPr>
        <w:ind w:left="1380" w:hanging="420"/>
      </w:pPr>
      <w:rPr>
        <w:rFonts w:hint="default" w:ascii="Wingdings" w:hAnsi="Wingdings"/>
      </w:rPr>
    </w:lvl>
    <w:lvl w:ilvl="1" w:tentative="0">
      <w:start w:val="1"/>
      <w:numFmt w:val="bullet"/>
      <w:lvlText w:val=""/>
      <w:lvlJc w:val="left"/>
      <w:pPr>
        <w:ind w:left="1800" w:hanging="420"/>
      </w:pPr>
      <w:rPr>
        <w:rFonts w:hint="default" w:ascii="Wingdings" w:hAnsi="Wingdings"/>
      </w:rPr>
    </w:lvl>
    <w:lvl w:ilvl="2" w:tentative="0">
      <w:start w:val="1"/>
      <w:numFmt w:val="bullet"/>
      <w:lvlText w:val=""/>
      <w:lvlJc w:val="left"/>
      <w:pPr>
        <w:ind w:left="2220" w:hanging="420"/>
      </w:pPr>
      <w:rPr>
        <w:rFonts w:hint="default" w:ascii="Wingdings" w:hAnsi="Wingdings"/>
      </w:rPr>
    </w:lvl>
    <w:lvl w:ilvl="3" w:tentative="0">
      <w:start w:val="1"/>
      <w:numFmt w:val="bullet"/>
      <w:lvlText w:val=""/>
      <w:lvlJc w:val="left"/>
      <w:pPr>
        <w:ind w:left="2640" w:hanging="420"/>
      </w:pPr>
      <w:rPr>
        <w:rFonts w:hint="default" w:ascii="Wingdings" w:hAnsi="Wingdings"/>
      </w:rPr>
    </w:lvl>
    <w:lvl w:ilvl="4" w:tentative="0">
      <w:start w:val="1"/>
      <w:numFmt w:val="bullet"/>
      <w:lvlText w:val=""/>
      <w:lvlJc w:val="left"/>
      <w:pPr>
        <w:ind w:left="3060" w:hanging="420"/>
      </w:pPr>
      <w:rPr>
        <w:rFonts w:hint="default" w:ascii="Wingdings" w:hAnsi="Wingdings"/>
      </w:rPr>
    </w:lvl>
    <w:lvl w:ilvl="5" w:tentative="0">
      <w:start w:val="1"/>
      <w:numFmt w:val="bullet"/>
      <w:lvlText w:val=""/>
      <w:lvlJc w:val="left"/>
      <w:pPr>
        <w:ind w:left="3480" w:hanging="420"/>
      </w:pPr>
      <w:rPr>
        <w:rFonts w:hint="default" w:ascii="Wingdings" w:hAnsi="Wingdings"/>
      </w:rPr>
    </w:lvl>
    <w:lvl w:ilvl="6" w:tentative="0">
      <w:start w:val="1"/>
      <w:numFmt w:val="bullet"/>
      <w:lvlText w:val=""/>
      <w:lvlJc w:val="left"/>
      <w:pPr>
        <w:ind w:left="3900" w:hanging="420"/>
      </w:pPr>
      <w:rPr>
        <w:rFonts w:hint="default" w:ascii="Wingdings" w:hAnsi="Wingdings"/>
      </w:rPr>
    </w:lvl>
    <w:lvl w:ilvl="7" w:tentative="0">
      <w:start w:val="1"/>
      <w:numFmt w:val="bullet"/>
      <w:lvlText w:val=""/>
      <w:lvlJc w:val="left"/>
      <w:pPr>
        <w:ind w:left="4320" w:hanging="420"/>
      </w:pPr>
      <w:rPr>
        <w:rFonts w:hint="default" w:ascii="Wingdings" w:hAnsi="Wingdings"/>
      </w:rPr>
    </w:lvl>
    <w:lvl w:ilvl="8" w:tentative="0">
      <w:start w:val="1"/>
      <w:numFmt w:val="bullet"/>
      <w:lvlText w:val=""/>
      <w:lvlJc w:val="left"/>
      <w:pPr>
        <w:ind w:left="4740" w:hanging="420"/>
      </w:pPr>
      <w:rPr>
        <w:rFonts w:hint="default" w:ascii="Wingdings" w:hAnsi="Wingdings"/>
      </w:rPr>
    </w:lvl>
  </w:abstractNum>
  <w:abstractNum w:abstractNumId="29">
    <w:nsid w:val="2DDE49AD"/>
    <w:multiLevelType w:val="multilevel"/>
    <w:tmpl w:val="2DDE49A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0">
    <w:nsid w:val="30607C77"/>
    <w:multiLevelType w:val="multilevel"/>
    <w:tmpl w:val="30607C7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1">
    <w:nsid w:val="35566EF3"/>
    <w:multiLevelType w:val="multilevel"/>
    <w:tmpl w:val="35566EF3"/>
    <w:lvl w:ilvl="0" w:tentative="0">
      <w:start w:val="1"/>
      <w:numFmt w:val="bullet"/>
      <w:lvlText w:val=""/>
      <w:lvlJc w:val="left"/>
      <w:pPr>
        <w:ind w:left="1380" w:hanging="420"/>
      </w:pPr>
      <w:rPr>
        <w:rFonts w:hint="default" w:ascii="Wingdings" w:hAnsi="Wingdings"/>
      </w:rPr>
    </w:lvl>
    <w:lvl w:ilvl="1" w:tentative="0">
      <w:start w:val="1"/>
      <w:numFmt w:val="bullet"/>
      <w:lvlText w:val=""/>
      <w:lvlJc w:val="left"/>
      <w:pPr>
        <w:ind w:left="1800" w:hanging="420"/>
      </w:pPr>
      <w:rPr>
        <w:rFonts w:hint="default" w:ascii="Wingdings" w:hAnsi="Wingdings"/>
      </w:rPr>
    </w:lvl>
    <w:lvl w:ilvl="2" w:tentative="0">
      <w:start w:val="1"/>
      <w:numFmt w:val="bullet"/>
      <w:lvlText w:val=""/>
      <w:lvlJc w:val="left"/>
      <w:pPr>
        <w:ind w:left="2220" w:hanging="420"/>
      </w:pPr>
      <w:rPr>
        <w:rFonts w:hint="default" w:ascii="Wingdings" w:hAnsi="Wingdings"/>
      </w:rPr>
    </w:lvl>
    <w:lvl w:ilvl="3" w:tentative="0">
      <w:start w:val="1"/>
      <w:numFmt w:val="bullet"/>
      <w:lvlText w:val=""/>
      <w:lvlJc w:val="left"/>
      <w:pPr>
        <w:ind w:left="2640" w:hanging="420"/>
      </w:pPr>
      <w:rPr>
        <w:rFonts w:hint="default" w:ascii="Wingdings" w:hAnsi="Wingdings"/>
      </w:rPr>
    </w:lvl>
    <w:lvl w:ilvl="4" w:tentative="0">
      <w:start w:val="1"/>
      <w:numFmt w:val="bullet"/>
      <w:lvlText w:val=""/>
      <w:lvlJc w:val="left"/>
      <w:pPr>
        <w:ind w:left="3060" w:hanging="420"/>
      </w:pPr>
      <w:rPr>
        <w:rFonts w:hint="default" w:ascii="Wingdings" w:hAnsi="Wingdings"/>
      </w:rPr>
    </w:lvl>
    <w:lvl w:ilvl="5" w:tentative="0">
      <w:start w:val="1"/>
      <w:numFmt w:val="bullet"/>
      <w:lvlText w:val=""/>
      <w:lvlJc w:val="left"/>
      <w:pPr>
        <w:ind w:left="3480" w:hanging="420"/>
      </w:pPr>
      <w:rPr>
        <w:rFonts w:hint="default" w:ascii="Wingdings" w:hAnsi="Wingdings"/>
      </w:rPr>
    </w:lvl>
    <w:lvl w:ilvl="6" w:tentative="0">
      <w:start w:val="1"/>
      <w:numFmt w:val="bullet"/>
      <w:lvlText w:val=""/>
      <w:lvlJc w:val="left"/>
      <w:pPr>
        <w:ind w:left="3900" w:hanging="420"/>
      </w:pPr>
      <w:rPr>
        <w:rFonts w:hint="default" w:ascii="Wingdings" w:hAnsi="Wingdings"/>
      </w:rPr>
    </w:lvl>
    <w:lvl w:ilvl="7" w:tentative="0">
      <w:start w:val="1"/>
      <w:numFmt w:val="bullet"/>
      <w:lvlText w:val=""/>
      <w:lvlJc w:val="left"/>
      <w:pPr>
        <w:ind w:left="4320" w:hanging="420"/>
      </w:pPr>
      <w:rPr>
        <w:rFonts w:hint="default" w:ascii="Wingdings" w:hAnsi="Wingdings"/>
      </w:rPr>
    </w:lvl>
    <w:lvl w:ilvl="8" w:tentative="0">
      <w:start w:val="1"/>
      <w:numFmt w:val="bullet"/>
      <w:lvlText w:val=""/>
      <w:lvlJc w:val="left"/>
      <w:pPr>
        <w:ind w:left="4740" w:hanging="420"/>
      </w:pPr>
      <w:rPr>
        <w:rFonts w:hint="default" w:ascii="Wingdings" w:hAnsi="Wingdings"/>
      </w:rPr>
    </w:lvl>
  </w:abstractNum>
  <w:abstractNum w:abstractNumId="32">
    <w:nsid w:val="390A61B6"/>
    <w:multiLevelType w:val="multilevel"/>
    <w:tmpl w:val="390A61B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3">
    <w:nsid w:val="3F61248B"/>
    <w:multiLevelType w:val="multilevel"/>
    <w:tmpl w:val="3F61248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4">
    <w:nsid w:val="43321199"/>
    <w:multiLevelType w:val="multilevel"/>
    <w:tmpl w:val="4332119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5">
    <w:nsid w:val="44397536"/>
    <w:multiLevelType w:val="multilevel"/>
    <w:tmpl w:val="44397536"/>
    <w:lvl w:ilvl="0" w:tentative="0">
      <w:start w:val="1"/>
      <w:numFmt w:val="bullet"/>
      <w:lvlText w:val=""/>
      <w:lvlJc w:val="left"/>
      <w:pPr>
        <w:ind w:left="1380" w:hanging="420"/>
      </w:pPr>
      <w:rPr>
        <w:rFonts w:hint="default" w:ascii="Wingdings" w:hAnsi="Wingdings"/>
      </w:rPr>
    </w:lvl>
    <w:lvl w:ilvl="1" w:tentative="0">
      <w:start w:val="1"/>
      <w:numFmt w:val="bullet"/>
      <w:lvlText w:val=""/>
      <w:lvlJc w:val="left"/>
      <w:pPr>
        <w:ind w:left="1800" w:hanging="420"/>
      </w:pPr>
      <w:rPr>
        <w:rFonts w:hint="default" w:ascii="Wingdings" w:hAnsi="Wingdings"/>
      </w:rPr>
    </w:lvl>
    <w:lvl w:ilvl="2" w:tentative="0">
      <w:start w:val="1"/>
      <w:numFmt w:val="bullet"/>
      <w:lvlText w:val=""/>
      <w:lvlJc w:val="left"/>
      <w:pPr>
        <w:ind w:left="2220" w:hanging="420"/>
      </w:pPr>
      <w:rPr>
        <w:rFonts w:hint="default" w:ascii="Wingdings" w:hAnsi="Wingdings"/>
      </w:rPr>
    </w:lvl>
    <w:lvl w:ilvl="3" w:tentative="0">
      <w:start w:val="1"/>
      <w:numFmt w:val="bullet"/>
      <w:lvlText w:val=""/>
      <w:lvlJc w:val="left"/>
      <w:pPr>
        <w:ind w:left="2640" w:hanging="420"/>
      </w:pPr>
      <w:rPr>
        <w:rFonts w:hint="default" w:ascii="Wingdings" w:hAnsi="Wingdings"/>
      </w:rPr>
    </w:lvl>
    <w:lvl w:ilvl="4" w:tentative="0">
      <w:start w:val="1"/>
      <w:numFmt w:val="bullet"/>
      <w:lvlText w:val=""/>
      <w:lvlJc w:val="left"/>
      <w:pPr>
        <w:ind w:left="3060" w:hanging="420"/>
      </w:pPr>
      <w:rPr>
        <w:rFonts w:hint="default" w:ascii="Wingdings" w:hAnsi="Wingdings"/>
      </w:rPr>
    </w:lvl>
    <w:lvl w:ilvl="5" w:tentative="0">
      <w:start w:val="1"/>
      <w:numFmt w:val="bullet"/>
      <w:lvlText w:val=""/>
      <w:lvlJc w:val="left"/>
      <w:pPr>
        <w:ind w:left="3480" w:hanging="420"/>
      </w:pPr>
      <w:rPr>
        <w:rFonts w:hint="default" w:ascii="Wingdings" w:hAnsi="Wingdings"/>
      </w:rPr>
    </w:lvl>
    <w:lvl w:ilvl="6" w:tentative="0">
      <w:start w:val="1"/>
      <w:numFmt w:val="bullet"/>
      <w:lvlText w:val=""/>
      <w:lvlJc w:val="left"/>
      <w:pPr>
        <w:ind w:left="3900" w:hanging="420"/>
      </w:pPr>
      <w:rPr>
        <w:rFonts w:hint="default" w:ascii="Wingdings" w:hAnsi="Wingdings"/>
      </w:rPr>
    </w:lvl>
    <w:lvl w:ilvl="7" w:tentative="0">
      <w:start w:val="1"/>
      <w:numFmt w:val="bullet"/>
      <w:lvlText w:val=""/>
      <w:lvlJc w:val="left"/>
      <w:pPr>
        <w:ind w:left="4320" w:hanging="420"/>
      </w:pPr>
      <w:rPr>
        <w:rFonts w:hint="default" w:ascii="Wingdings" w:hAnsi="Wingdings"/>
      </w:rPr>
    </w:lvl>
    <w:lvl w:ilvl="8" w:tentative="0">
      <w:start w:val="1"/>
      <w:numFmt w:val="bullet"/>
      <w:lvlText w:val=""/>
      <w:lvlJc w:val="left"/>
      <w:pPr>
        <w:ind w:left="4740" w:hanging="420"/>
      </w:pPr>
      <w:rPr>
        <w:rFonts w:hint="default" w:ascii="Wingdings" w:hAnsi="Wingdings"/>
      </w:rPr>
    </w:lvl>
  </w:abstractNum>
  <w:abstractNum w:abstractNumId="36">
    <w:nsid w:val="482E4DF4"/>
    <w:multiLevelType w:val="multilevel"/>
    <w:tmpl w:val="482E4DF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7">
    <w:nsid w:val="483B4DF6"/>
    <w:multiLevelType w:val="multilevel"/>
    <w:tmpl w:val="483B4DF6"/>
    <w:lvl w:ilvl="0" w:tentative="0">
      <w:start w:val="1"/>
      <w:numFmt w:val="bullet"/>
      <w:lvlText w:val=""/>
      <w:lvlJc w:val="left"/>
      <w:pPr>
        <w:ind w:left="1380" w:hanging="420"/>
      </w:pPr>
      <w:rPr>
        <w:rFonts w:hint="default" w:ascii="Wingdings" w:hAnsi="Wingdings"/>
      </w:rPr>
    </w:lvl>
    <w:lvl w:ilvl="1" w:tentative="0">
      <w:start w:val="1"/>
      <w:numFmt w:val="bullet"/>
      <w:lvlText w:val=""/>
      <w:lvlJc w:val="left"/>
      <w:pPr>
        <w:ind w:left="1800" w:hanging="420"/>
      </w:pPr>
      <w:rPr>
        <w:rFonts w:hint="default" w:ascii="Wingdings" w:hAnsi="Wingdings"/>
      </w:rPr>
    </w:lvl>
    <w:lvl w:ilvl="2" w:tentative="0">
      <w:start w:val="1"/>
      <w:numFmt w:val="bullet"/>
      <w:lvlText w:val=""/>
      <w:lvlJc w:val="left"/>
      <w:pPr>
        <w:ind w:left="2220" w:hanging="420"/>
      </w:pPr>
      <w:rPr>
        <w:rFonts w:hint="default" w:ascii="Wingdings" w:hAnsi="Wingdings"/>
      </w:rPr>
    </w:lvl>
    <w:lvl w:ilvl="3" w:tentative="0">
      <w:start w:val="1"/>
      <w:numFmt w:val="bullet"/>
      <w:lvlText w:val=""/>
      <w:lvlJc w:val="left"/>
      <w:pPr>
        <w:ind w:left="2640" w:hanging="420"/>
      </w:pPr>
      <w:rPr>
        <w:rFonts w:hint="default" w:ascii="Wingdings" w:hAnsi="Wingdings"/>
      </w:rPr>
    </w:lvl>
    <w:lvl w:ilvl="4" w:tentative="0">
      <w:start w:val="1"/>
      <w:numFmt w:val="bullet"/>
      <w:lvlText w:val=""/>
      <w:lvlJc w:val="left"/>
      <w:pPr>
        <w:ind w:left="3060" w:hanging="420"/>
      </w:pPr>
      <w:rPr>
        <w:rFonts w:hint="default" w:ascii="Wingdings" w:hAnsi="Wingdings"/>
      </w:rPr>
    </w:lvl>
    <w:lvl w:ilvl="5" w:tentative="0">
      <w:start w:val="1"/>
      <w:numFmt w:val="bullet"/>
      <w:lvlText w:val=""/>
      <w:lvlJc w:val="left"/>
      <w:pPr>
        <w:ind w:left="3480" w:hanging="420"/>
      </w:pPr>
      <w:rPr>
        <w:rFonts w:hint="default" w:ascii="Wingdings" w:hAnsi="Wingdings"/>
      </w:rPr>
    </w:lvl>
    <w:lvl w:ilvl="6" w:tentative="0">
      <w:start w:val="1"/>
      <w:numFmt w:val="bullet"/>
      <w:lvlText w:val=""/>
      <w:lvlJc w:val="left"/>
      <w:pPr>
        <w:ind w:left="3900" w:hanging="420"/>
      </w:pPr>
      <w:rPr>
        <w:rFonts w:hint="default" w:ascii="Wingdings" w:hAnsi="Wingdings"/>
      </w:rPr>
    </w:lvl>
    <w:lvl w:ilvl="7" w:tentative="0">
      <w:start w:val="1"/>
      <w:numFmt w:val="bullet"/>
      <w:lvlText w:val=""/>
      <w:lvlJc w:val="left"/>
      <w:pPr>
        <w:ind w:left="4320" w:hanging="420"/>
      </w:pPr>
      <w:rPr>
        <w:rFonts w:hint="default" w:ascii="Wingdings" w:hAnsi="Wingdings"/>
      </w:rPr>
    </w:lvl>
    <w:lvl w:ilvl="8" w:tentative="0">
      <w:start w:val="1"/>
      <w:numFmt w:val="bullet"/>
      <w:lvlText w:val=""/>
      <w:lvlJc w:val="left"/>
      <w:pPr>
        <w:ind w:left="4740" w:hanging="420"/>
      </w:pPr>
      <w:rPr>
        <w:rFonts w:hint="default" w:ascii="Wingdings" w:hAnsi="Wingdings"/>
      </w:rPr>
    </w:lvl>
  </w:abstractNum>
  <w:abstractNum w:abstractNumId="38">
    <w:nsid w:val="49AF7CF1"/>
    <w:multiLevelType w:val="multilevel"/>
    <w:tmpl w:val="49AF7CF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9">
    <w:nsid w:val="4A0151EB"/>
    <w:multiLevelType w:val="multilevel"/>
    <w:tmpl w:val="4A0151E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0">
    <w:nsid w:val="4C437E20"/>
    <w:multiLevelType w:val="multilevel"/>
    <w:tmpl w:val="4C437E2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1">
    <w:nsid w:val="4C72764C"/>
    <w:multiLevelType w:val="multilevel"/>
    <w:tmpl w:val="4C72764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2">
    <w:nsid w:val="4DA14D02"/>
    <w:multiLevelType w:val="multilevel"/>
    <w:tmpl w:val="4DA14D0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3">
    <w:nsid w:val="4F9A7F1D"/>
    <w:multiLevelType w:val="multilevel"/>
    <w:tmpl w:val="4F9A7F1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4">
    <w:nsid w:val="51130740"/>
    <w:multiLevelType w:val="multilevel"/>
    <w:tmpl w:val="5113074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5">
    <w:nsid w:val="51706EC8"/>
    <w:multiLevelType w:val="multilevel"/>
    <w:tmpl w:val="51706EC8"/>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6">
    <w:nsid w:val="53076893"/>
    <w:multiLevelType w:val="multilevel"/>
    <w:tmpl w:val="53076893"/>
    <w:lvl w:ilvl="0" w:tentative="0">
      <w:start w:val="1"/>
      <w:numFmt w:val="bullet"/>
      <w:lvlText w:val=""/>
      <w:lvlJc w:val="left"/>
      <w:pPr>
        <w:ind w:left="1380" w:hanging="420"/>
      </w:pPr>
      <w:rPr>
        <w:rFonts w:hint="default" w:ascii="Wingdings" w:hAnsi="Wingdings"/>
      </w:rPr>
    </w:lvl>
    <w:lvl w:ilvl="1" w:tentative="0">
      <w:start w:val="1"/>
      <w:numFmt w:val="bullet"/>
      <w:lvlText w:val=""/>
      <w:lvlJc w:val="left"/>
      <w:pPr>
        <w:ind w:left="1800" w:hanging="420"/>
      </w:pPr>
      <w:rPr>
        <w:rFonts w:hint="default" w:ascii="Wingdings" w:hAnsi="Wingdings"/>
      </w:rPr>
    </w:lvl>
    <w:lvl w:ilvl="2" w:tentative="0">
      <w:start w:val="1"/>
      <w:numFmt w:val="bullet"/>
      <w:lvlText w:val=""/>
      <w:lvlJc w:val="left"/>
      <w:pPr>
        <w:ind w:left="2220" w:hanging="420"/>
      </w:pPr>
      <w:rPr>
        <w:rFonts w:hint="default" w:ascii="Wingdings" w:hAnsi="Wingdings"/>
      </w:rPr>
    </w:lvl>
    <w:lvl w:ilvl="3" w:tentative="0">
      <w:start w:val="1"/>
      <w:numFmt w:val="bullet"/>
      <w:lvlText w:val=""/>
      <w:lvlJc w:val="left"/>
      <w:pPr>
        <w:ind w:left="2640" w:hanging="420"/>
      </w:pPr>
      <w:rPr>
        <w:rFonts w:hint="default" w:ascii="Wingdings" w:hAnsi="Wingdings"/>
      </w:rPr>
    </w:lvl>
    <w:lvl w:ilvl="4" w:tentative="0">
      <w:start w:val="1"/>
      <w:numFmt w:val="bullet"/>
      <w:lvlText w:val=""/>
      <w:lvlJc w:val="left"/>
      <w:pPr>
        <w:ind w:left="3060" w:hanging="420"/>
      </w:pPr>
      <w:rPr>
        <w:rFonts w:hint="default" w:ascii="Wingdings" w:hAnsi="Wingdings"/>
      </w:rPr>
    </w:lvl>
    <w:lvl w:ilvl="5" w:tentative="0">
      <w:start w:val="1"/>
      <w:numFmt w:val="bullet"/>
      <w:lvlText w:val=""/>
      <w:lvlJc w:val="left"/>
      <w:pPr>
        <w:ind w:left="3480" w:hanging="420"/>
      </w:pPr>
      <w:rPr>
        <w:rFonts w:hint="default" w:ascii="Wingdings" w:hAnsi="Wingdings"/>
      </w:rPr>
    </w:lvl>
    <w:lvl w:ilvl="6" w:tentative="0">
      <w:start w:val="1"/>
      <w:numFmt w:val="bullet"/>
      <w:lvlText w:val=""/>
      <w:lvlJc w:val="left"/>
      <w:pPr>
        <w:ind w:left="3900" w:hanging="420"/>
      </w:pPr>
      <w:rPr>
        <w:rFonts w:hint="default" w:ascii="Wingdings" w:hAnsi="Wingdings"/>
      </w:rPr>
    </w:lvl>
    <w:lvl w:ilvl="7" w:tentative="0">
      <w:start w:val="1"/>
      <w:numFmt w:val="bullet"/>
      <w:lvlText w:val=""/>
      <w:lvlJc w:val="left"/>
      <w:pPr>
        <w:ind w:left="4320" w:hanging="420"/>
      </w:pPr>
      <w:rPr>
        <w:rFonts w:hint="default" w:ascii="Wingdings" w:hAnsi="Wingdings"/>
      </w:rPr>
    </w:lvl>
    <w:lvl w:ilvl="8" w:tentative="0">
      <w:start w:val="1"/>
      <w:numFmt w:val="bullet"/>
      <w:lvlText w:val=""/>
      <w:lvlJc w:val="left"/>
      <w:pPr>
        <w:ind w:left="4740" w:hanging="420"/>
      </w:pPr>
      <w:rPr>
        <w:rFonts w:hint="default" w:ascii="Wingdings" w:hAnsi="Wingdings"/>
      </w:rPr>
    </w:lvl>
  </w:abstractNum>
  <w:abstractNum w:abstractNumId="47">
    <w:nsid w:val="55B372C3"/>
    <w:multiLevelType w:val="multilevel"/>
    <w:tmpl w:val="55B372C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8">
    <w:nsid w:val="5A955C04"/>
    <w:multiLevelType w:val="multilevel"/>
    <w:tmpl w:val="5A955C0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9">
    <w:nsid w:val="5B412283"/>
    <w:multiLevelType w:val="multilevel"/>
    <w:tmpl w:val="5B41228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0">
    <w:nsid w:val="61041C50"/>
    <w:multiLevelType w:val="multilevel"/>
    <w:tmpl w:val="61041C5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1">
    <w:nsid w:val="633C3DCC"/>
    <w:multiLevelType w:val="multilevel"/>
    <w:tmpl w:val="633C3DC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2">
    <w:nsid w:val="65A82FF7"/>
    <w:multiLevelType w:val="multilevel"/>
    <w:tmpl w:val="65A82FF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3">
    <w:nsid w:val="69EF3D02"/>
    <w:multiLevelType w:val="multilevel"/>
    <w:tmpl w:val="69EF3D0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4">
    <w:nsid w:val="6A434841"/>
    <w:multiLevelType w:val="multilevel"/>
    <w:tmpl w:val="6A43484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5">
    <w:nsid w:val="6EFD31B6"/>
    <w:multiLevelType w:val="multilevel"/>
    <w:tmpl w:val="6EFD31B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6">
    <w:nsid w:val="705C4F51"/>
    <w:multiLevelType w:val="multilevel"/>
    <w:tmpl w:val="705C4F51"/>
    <w:lvl w:ilvl="0" w:tentative="0">
      <w:start w:val="1"/>
      <w:numFmt w:val="bullet"/>
      <w:lvlText w:val=""/>
      <w:lvlJc w:val="left"/>
      <w:pPr>
        <w:ind w:left="1380" w:hanging="420"/>
      </w:pPr>
      <w:rPr>
        <w:rFonts w:hint="default" w:ascii="Wingdings" w:hAnsi="Wingdings"/>
      </w:rPr>
    </w:lvl>
    <w:lvl w:ilvl="1" w:tentative="0">
      <w:start w:val="1"/>
      <w:numFmt w:val="bullet"/>
      <w:lvlText w:val=""/>
      <w:lvlJc w:val="left"/>
      <w:pPr>
        <w:ind w:left="1800" w:hanging="420"/>
      </w:pPr>
      <w:rPr>
        <w:rFonts w:hint="default" w:ascii="Wingdings" w:hAnsi="Wingdings"/>
      </w:rPr>
    </w:lvl>
    <w:lvl w:ilvl="2" w:tentative="0">
      <w:start w:val="1"/>
      <w:numFmt w:val="bullet"/>
      <w:lvlText w:val=""/>
      <w:lvlJc w:val="left"/>
      <w:pPr>
        <w:ind w:left="2220" w:hanging="420"/>
      </w:pPr>
      <w:rPr>
        <w:rFonts w:hint="default" w:ascii="Wingdings" w:hAnsi="Wingdings"/>
      </w:rPr>
    </w:lvl>
    <w:lvl w:ilvl="3" w:tentative="0">
      <w:start w:val="1"/>
      <w:numFmt w:val="bullet"/>
      <w:lvlText w:val=""/>
      <w:lvlJc w:val="left"/>
      <w:pPr>
        <w:ind w:left="2640" w:hanging="420"/>
      </w:pPr>
      <w:rPr>
        <w:rFonts w:hint="default" w:ascii="Wingdings" w:hAnsi="Wingdings"/>
      </w:rPr>
    </w:lvl>
    <w:lvl w:ilvl="4" w:tentative="0">
      <w:start w:val="1"/>
      <w:numFmt w:val="bullet"/>
      <w:lvlText w:val=""/>
      <w:lvlJc w:val="left"/>
      <w:pPr>
        <w:ind w:left="3060" w:hanging="420"/>
      </w:pPr>
      <w:rPr>
        <w:rFonts w:hint="default" w:ascii="Wingdings" w:hAnsi="Wingdings"/>
      </w:rPr>
    </w:lvl>
    <w:lvl w:ilvl="5" w:tentative="0">
      <w:start w:val="1"/>
      <w:numFmt w:val="bullet"/>
      <w:lvlText w:val=""/>
      <w:lvlJc w:val="left"/>
      <w:pPr>
        <w:ind w:left="3480" w:hanging="420"/>
      </w:pPr>
      <w:rPr>
        <w:rFonts w:hint="default" w:ascii="Wingdings" w:hAnsi="Wingdings"/>
      </w:rPr>
    </w:lvl>
    <w:lvl w:ilvl="6" w:tentative="0">
      <w:start w:val="1"/>
      <w:numFmt w:val="bullet"/>
      <w:lvlText w:val=""/>
      <w:lvlJc w:val="left"/>
      <w:pPr>
        <w:ind w:left="3900" w:hanging="420"/>
      </w:pPr>
      <w:rPr>
        <w:rFonts w:hint="default" w:ascii="Wingdings" w:hAnsi="Wingdings"/>
      </w:rPr>
    </w:lvl>
    <w:lvl w:ilvl="7" w:tentative="0">
      <w:start w:val="1"/>
      <w:numFmt w:val="bullet"/>
      <w:lvlText w:val=""/>
      <w:lvlJc w:val="left"/>
      <w:pPr>
        <w:ind w:left="4320" w:hanging="420"/>
      </w:pPr>
      <w:rPr>
        <w:rFonts w:hint="default" w:ascii="Wingdings" w:hAnsi="Wingdings"/>
      </w:rPr>
    </w:lvl>
    <w:lvl w:ilvl="8" w:tentative="0">
      <w:start w:val="1"/>
      <w:numFmt w:val="bullet"/>
      <w:lvlText w:val=""/>
      <w:lvlJc w:val="left"/>
      <w:pPr>
        <w:ind w:left="4740" w:hanging="420"/>
      </w:pPr>
      <w:rPr>
        <w:rFonts w:hint="default" w:ascii="Wingdings" w:hAnsi="Wingdings"/>
      </w:rPr>
    </w:lvl>
  </w:abstractNum>
  <w:abstractNum w:abstractNumId="57">
    <w:nsid w:val="706E00FB"/>
    <w:multiLevelType w:val="multilevel"/>
    <w:tmpl w:val="706E00FB"/>
    <w:lvl w:ilvl="0" w:tentative="0">
      <w:start w:val="1"/>
      <w:numFmt w:val="bullet"/>
      <w:lvlText w:val=""/>
      <w:lvlJc w:val="left"/>
      <w:pPr>
        <w:ind w:left="1380" w:hanging="420"/>
      </w:pPr>
      <w:rPr>
        <w:rFonts w:hint="default" w:ascii="Wingdings" w:hAnsi="Wingdings"/>
      </w:rPr>
    </w:lvl>
    <w:lvl w:ilvl="1" w:tentative="0">
      <w:start w:val="1"/>
      <w:numFmt w:val="bullet"/>
      <w:lvlText w:val=""/>
      <w:lvlJc w:val="left"/>
      <w:pPr>
        <w:ind w:left="1800" w:hanging="420"/>
      </w:pPr>
      <w:rPr>
        <w:rFonts w:hint="default" w:ascii="Wingdings" w:hAnsi="Wingdings"/>
      </w:rPr>
    </w:lvl>
    <w:lvl w:ilvl="2" w:tentative="0">
      <w:start w:val="1"/>
      <w:numFmt w:val="bullet"/>
      <w:lvlText w:val=""/>
      <w:lvlJc w:val="left"/>
      <w:pPr>
        <w:ind w:left="2220" w:hanging="420"/>
      </w:pPr>
      <w:rPr>
        <w:rFonts w:hint="default" w:ascii="Wingdings" w:hAnsi="Wingdings"/>
      </w:rPr>
    </w:lvl>
    <w:lvl w:ilvl="3" w:tentative="0">
      <w:start w:val="1"/>
      <w:numFmt w:val="bullet"/>
      <w:lvlText w:val=""/>
      <w:lvlJc w:val="left"/>
      <w:pPr>
        <w:ind w:left="2640" w:hanging="420"/>
      </w:pPr>
      <w:rPr>
        <w:rFonts w:hint="default" w:ascii="Wingdings" w:hAnsi="Wingdings"/>
      </w:rPr>
    </w:lvl>
    <w:lvl w:ilvl="4" w:tentative="0">
      <w:start w:val="1"/>
      <w:numFmt w:val="bullet"/>
      <w:lvlText w:val=""/>
      <w:lvlJc w:val="left"/>
      <w:pPr>
        <w:ind w:left="3060" w:hanging="420"/>
      </w:pPr>
      <w:rPr>
        <w:rFonts w:hint="default" w:ascii="Wingdings" w:hAnsi="Wingdings"/>
      </w:rPr>
    </w:lvl>
    <w:lvl w:ilvl="5" w:tentative="0">
      <w:start w:val="1"/>
      <w:numFmt w:val="bullet"/>
      <w:lvlText w:val=""/>
      <w:lvlJc w:val="left"/>
      <w:pPr>
        <w:ind w:left="3480" w:hanging="420"/>
      </w:pPr>
      <w:rPr>
        <w:rFonts w:hint="default" w:ascii="Wingdings" w:hAnsi="Wingdings"/>
      </w:rPr>
    </w:lvl>
    <w:lvl w:ilvl="6" w:tentative="0">
      <w:start w:val="1"/>
      <w:numFmt w:val="bullet"/>
      <w:lvlText w:val=""/>
      <w:lvlJc w:val="left"/>
      <w:pPr>
        <w:ind w:left="3900" w:hanging="420"/>
      </w:pPr>
      <w:rPr>
        <w:rFonts w:hint="default" w:ascii="Wingdings" w:hAnsi="Wingdings"/>
      </w:rPr>
    </w:lvl>
    <w:lvl w:ilvl="7" w:tentative="0">
      <w:start w:val="1"/>
      <w:numFmt w:val="bullet"/>
      <w:lvlText w:val=""/>
      <w:lvlJc w:val="left"/>
      <w:pPr>
        <w:ind w:left="4320" w:hanging="420"/>
      </w:pPr>
      <w:rPr>
        <w:rFonts w:hint="default" w:ascii="Wingdings" w:hAnsi="Wingdings"/>
      </w:rPr>
    </w:lvl>
    <w:lvl w:ilvl="8" w:tentative="0">
      <w:start w:val="1"/>
      <w:numFmt w:val="bullet"/>
      <w:lvlText w:val=""/>
      <w:lvlJc w:val="left"/>
      <w:pPr>
        <w:ind w:left="4740" w:hanging="420"/>
      </w:pPr>
      <w:rPr>
        <w:rFonts w:hint="default" w:ascii="Wingdings" w:hAnsi="Wingdings"/>
      </w:rPr>
    </w:lvl>
  </w:abstractNum>
  <w:abstractNum w:abstractNumId="58">
    <w:nsid w:val="72CC414D"/>
    <w:multiLevelType w:val="multilevel"/>
    <w:tmpl w:val="72CC414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9">
    <w:nsid w:val="76DD3BEF"/>
    <w:multiLevelType w:val="multilevel"/>
    <w:tmpl w:val="76DD3BE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0">
    <w:nsid w:val="788E255D"/>
    <w:multiLevelType w:val="multilevel"/>
    <w:tmpl w:val="788E255D"/>
    <w:lvl w:ilvl="0" w:tentative="0">
      <w:start w:val="1"/>
      <w:numFmt w:val="bullet"/>
      <w:lvlText w:val=""/>
      <w:lvlJc w:val="left"/>
      <w:pPr>
        <w:ind w:left="1380" w:hanging="420"/>
      </w:pPr>
      <w:rPr>
        <w:rFonts w:hint="default" w:ascii="Wingdings" w:hAnsi="Wingdings"/>
      </w:rPr>
    </w:lvl>
    <w:lvl w:ilvl="1" w:tentative="0">
      <w:start w:val="1"/>
      <w:numFmt w:val="bullet"/>
      <w:lvlText w:val=""/>
      <w:lvlJc w:val="left"/>
      <w:pPr>
        <w:ind w:left="1800" w:hanging="420"/>
      </w:pPr>
      <w:rPr>
        <w:rFonts w:hint="default" w:ascii="Wingdings" w:hAnsi="Wingdings"/>
      </w:rPr>
    </w:lvl>
    <w:lvl w:ilvl="2" w:tentative="0">
      <w:start w:val="1"/>
      <w:numFmt w:val="bullet"/>
      <w:lvlText w:val=""/>
      <w:lvlJc w:val="left"/>
      <w:pPr>
        <w:ind w:left="2220" w:hanging="420"/>
      </w:pPr>
      <w:rPr>
        <w:rFonts w:hint="default" w:ascii="Wingdings" w:hAnsi="Wingdings"/>
      </w:rPr>
    </w:lvl>
    <w:lvl w:ilvl="3" w:tentative="0">
      <w:start w:val="1"/>
      <w:numFmt w:val="bullet"/>
      <w:lvlText w:val=""/>
      <w:lvlJc w:val="left"/>
      <w:pPr>
        <w:ind w:left="2640" w:hanging="420"/>
      </w:pPr>
      <w:rPr>
        <w:rFonts w:hint="default" w:ascii="Wingdings" w:hAnsi="Wingdings"/>
      </w:rPr>
    </w:lvl>
    <w:lvl w:ilvl="4" w:tentative="0">
      <w:start w:val="1"/>
      <w:numFmt w:val="bullet"/>
      <w:lvlText w:val=""/>
      <w:lvlJc w:val="left"/>
      <w:pPr>
        <w:ind w:left="3060" w:hanging="420"/>
      </w:pPr>
      <w:rPr>
        <w:rFonts w:hint="default" w:ascii="Wingdings" w:hAnsi="Wingdings"/>
      </w:rPr>
    </w:lvl>
    <w:lvl w:ilvl="5" w:tentative="0">
      <w:start w:val="1"/>
      <w:numFmt w:val="bullet"/>
      <w:lvlText w:val=""/>
      <w:lvlJc w:val="left"/>
      <w:pPr>
        <w:ind w:left="3480" w:hanging="420"/>
      </w:pPr>
      <w:rPr>
        <w:rFonts w:hint="default" w:ascii="Wingdings" w:hAnsi="Wingdings"/>
      </w:rPr>
    </w:lvl>
    <w:lvl w:ilvl="6" w:tentative="0">
      <w:start w:val="1"/>
      <w:numFmt w:val="bullet"/>
      <w:lvlText w:val=""/>
      <w:lvlJc w:val="left"/>
      <w:pPr>
        <w:ind w:left="3900" w:hanging="420"/>
      </w:pPr>
      <w:rPr>
        <w:rFonts w:hint="default" w:ascii="Wingdings" w:hAnsi="Wingdings"/>
      </w:rPr>
    </w:lvl>
    <w:lvl w:ilvl="7" w:tentative="0">
      <w:start w:val="1"/>
      <w:numFmt w:val="bullet"/>
      <w:lvlText w:val=""/>
      <w:lvlJc w:val="left"/>
      <w:pPr>
        <w:ind w:left="4320" w:hanging="420"/>
      </w:pPr>
      <w:rPr>
        <w:rFonts w:hint="default" w:ascii="Wingdings" w:hAnsi="Wingdings"/>
      </w:rPr>
    </w:lvl>
    <w:lvl w:ilvl="8" w:tentative="0">
      <w:start w:val="1"/>
      <w:numFmt w:val="bullet"/>
      <w:lvlText w:val=""/>
      <w:lvlJc w:val="left"/>
      <w:pPr>
        <w:ind w:left="4740" w:hanging="420"/>
      </w:pPr>
      <w:rPr>
        <w:rFonts w:hint="default" w:ascii="Wingdings" w:hAnsi="Wingdings"/>
      </w:rPr>
    </w:lvl>
  </w:abstractNum>
  <w:abstractNum w:abstractNumId="61">
    <w:nsid w:val="796E45E7"/>
    <w:multiLevelType w:val="multilevel"/>
    <w:tmpl w:val="796E45E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2">
    <w:nsid w:val="798711A0"/>
    <w:multiLevelType w:val="multilevel"/>
    <w:tmpl w:val="798711A0"/>
    <w:lvl w:ilvl="0" w:tentative="0">
      <w:start w:val="1"/>
      <w:numFmt w:val="bullet"/>
      <w:lvlText w:val=""/>
      <w:lvlJc w:val="left"/>
      <w:pPr>
        <w:ind w:left="1380" w:hanging="420"/>
      </w:pPr>
      <w:rPr>
        <w:rFonts w:hint="default" w:ascii="Wingdings" w:hAnsi="Wingdings"/>
      </w:rPr>
    </w:lvl>
    <w:lvl w:ilvl="1" w:tentative="0">
      <w:start w:val="1"/>
      <w:numFmt w:val="bullet"/>
      <w:lvlText w:val=""/>
      <w:lvlJc w:val="left"/>
      <w:pPr>
        <w:ind w:left="1800" w:hanging="420"/>
      </w:pPr>
      <w:rPr>
        <w:rFonts w:hint="default" w:ascii="Wingdings" w:hAnsi="Wingdings"/>
      </w:rPr>
    </w:lvl>
    <w:lvl w:ilvl="2" w:tentative="0">
      <w:start w:val="1"/>
      <w:numFmt w:val="bullet"/>
      <w:lvlText w:val=""/>
      <w:lvlJc w:val="left"/>
      <w:pPr>
        <w:ind w:left="2220" w:hanging="420"/>
      </w:pPr>
      <w:rPr>
        <w:rFonts w:hint="default" w:ascii="Wingdings" w:hAnsi="Wingdings"/>
      </w:rPr>
    </w:lvl>
    <w:lvl w:ilvl="3" w:tentative="0">
      <w:start w:val="1"/>
      <w:numFmt w:val="bullet"/>
      <w:lvlText w:val=""/>
      <w:lvlJc w:val="left"/>
      <w:pPr>
        <w:ind w:left="2640" w:hanging="420"/>
      </w:pPr>
      <w:rPr>
        <w:rFonts w:hint="default" w:ascii="Wingdings" w:hAnsi="Wingdings"/>
      </w:rPr>
    </w:lvl>
    <w:lvl w:ilvl="4" w:tentative="0">
      <w:start w:val="1"/>
      <w:numFmt w:val="bullet"/>
      <w:lvlText w:val=""/>
      <w:lvlJc w:val="left"/>
      <w:pPr>
        <w:ind w:left="3060" w:hanging="420"/>
      </w:pPr>
      <w:rPr>
        <w:rFonts w:hint="default" w:ascii="Wingdings" w:hAnsi="Wingdings"/>
      </w:rPr>
    </w:lvl>
    <w:lvl w:ilvl="5" w:tentative="0">
      <w:start w:val="1"/>
      <w:numFmt w:val="bullet"/>
      <w:lvlText w:val=""/>
      <w:lvlJc w:val="left"/>
      <w:pPr>
        <w:ind w:left="3480" w:hanging="420"/>
      </w:pPr>
      <w:rPr>
        <w:rFonts w:hint="default" w:ascii="Wingdings" w:hAnsi="Wingdings"/>
      </w:rPr>
    </w:lvl>
    <w:lvl w:ilvl="6" w:tentative="0">
      <w:start w:val="1"/>
      <w:numFmt w:val="bullet"/>
      <w:lvlText w:val=""/>
      <w:lvlJc w:val="left"/>
      <w:pPr>
        <w:ind w:left="3900" w:hanging="420"/>
      </w:pPr>
      <w:rPr>
        <w:rFonts w:hint="default" w:ascii="Wingdings" w:hAnsi="Wingdings"/>
      </w:rPr>
    </w:lvl>
    <w:lvl w:ilvl="7" w:tentative="0">
      <w:start w:val="1"/>
      <w:numFmt w:val="bullet"/>
      <w:lvlText w:val=""/>
      <w:lvlJc w:val="left"/>
      <w:pPr>
        <w:ind w:left="4320" w:hanging="420"/>
      </w:pPr>
      <w:rPr>
        <w:rFonts w:hint="default" w:ascii="Wingdings" w:hAnsi="Wingdings"/>
      </w:rPr>
    </w:lvl>
    <w:lvl w:ilvl="8" w:tentative="0">
      <w:start w:val="1"/>
      <w:numFmt w:val="bullet"/>
      <w:lvlText w:val=""/>
      <w:lvlJc w:val="left"/>
      <w:pPr>
        <w:ind w:left="4740" w:hanging="420"/>
      </w:pPr>
      <w:rPr>
        <w:rFonts w:hint="default" w:ascii="Wingdings" w:hAnsi="Wingdings"/>
      </w:rPr>
    </w:lvl>
  </w:abstractNum>
  <w:abstractNum w:abstractNumId="63">
    <w:nsid w:val="7B1514EB"/>
    <w:multiLevelType w:val="multilevel"/>
    <w:tmpl w:val="7B1514EB"/>
    <w:lvl w:ilvl="0" w:tentative="0">
      <w:start w:val="1"/>
      <w:numFmt w:val="bullet"/>
      <w:lvlText w:val=""/>
      <w:lvlJc w:val="left"/>
      <w:pPr>
        <w:ind w:left="1380" w:hanging="420"/>
      </w:pPr>
      <w:rPr>
        <w:rFonts w:hint="default" w:ascii="Wingdings" w:hAnsi="Wingdings"/>
      </w:rPr>
    </w:lvl>
    <w:lvl w:ilvl="1" w:tentative="0">
      <w:start w:val="1"/>
      <w:numFmt w:val="bullet"/>
      <w:lvlText w:val=""/>
      <w:lvlJc w:val="left"/>
      <w:pPr>
        <w:ind w:left="1800" w:hanging="420"/>
      </w:pPr>
      <w:rPr>
        <w:rFonts w:hint="default" w:ascii="Wingdings" w:hAnsi="Wingdings"/>
      </w:rPr>
    </w:lvl>
    <w:lvl w:ilvl="2" w:tentative="0">
      <w:start w:val="1"/>
      <w:numFmt w:val="bullet"/>
      <w:lvlText w:val=""/>
      <w:lvlJc w:val="left"/>
      <w:pPr>
        <w:ind w:left="2220" w:hanging="420"/>
      </w:pPr>
      <w:rPr>
        <w:rFonts w:hint="default" w:ascii="Wingdings" w:hAnsi="Wingdings"/>
      </w:rPr>
    </w:lvl>
    <w:lvl w:ilvl="3" w:tentative="0">
      <w:start w:val="1"/>
      <w:numFmt w:val="bullet"/>
      <w:lvlText w:val=""/>
      <w:lvlJc w:val="left"/>
      <w:pPr>
        <w:ind w:left="2640" w:hanging="420"/>
      </w:pPr>
      <w:rPr>
        <w:rFonts w:hint="default" w:ascii="Wingdings" w:hAnsi="Wingdings"/>
      </w:rPr>
    </w:lvl>
    <w:lvl w:ilvl="4" w:tentative="0">
      <w:start w:val="1"/>
      <w:numFmt w:val="bullet"/>
      <w:lvlText w:val=""/>
      <w:lvlJc w:val="left"/>
      <w:pPr>
        <w:ind w:left="3060" w:hanging="420"/>
      </w:pPr>
      <w:rPr>
        <w:rFonts w:hint="default" w:ascii="Wingdings" w:hAnsi="Wingdings"/>
      </w:rPr>
    </w:lvl>
    <w:lvl w:ilvl="5" w:tentative="0">
      <w:start w:val="1"/>
      <w:numFmt w:val="bullet"/>
      <w:lvlText w:val=""/>
      <w:lvlJc w:val="left"/>
      <w:pPr>
        <w:ind w:left="3480" w:hanging="420"/>
      </w:pPr>
      <w:rPr>
        <w:rFonts w:hint="default" w:ascii="Wingdings" w:hAnsi="Wingdings"/>
      </w:rPr>
    </w:lvl>
    <w:lvl w:ilvl="6" w:tentative="0">
      <w:start w:val="1"/>
      <w:numFmt w:val="bullet"/>
      <w:lvlText w:val=""/>
      <w:lvlJc w:val="left"/>
      <w:pPr>
        <w:ind w:left="3900" w:hanging="420"/>
      </w:pPr>
      <w:rPr>
        <w:rFonts w:hint="default" w:ascii="Wingdings" w:hAnsi="Wingdings"/>
      </w:rPr>
    </w:lvl>
    <w:lvl w:ilvl="7" w:tentative="0">
      <w:start w:val="1"/>
      <w:numFmt w:val="bullet"/>
      <w:lvlText w:val=""/>
      <w:lvlJc w:val="left"/>
      <w:pPr>
        <w:ind w:left="4320" w:hanging="420"/>
      </w:pPr>
      <w:rPr>
        <w:rFonts w:hint="default" w:ascii="Wingdings" w:hAnsi="Wingdings"/>
      </w:rPr>
    </w:lvl>
    <w:lvl w:ilvl="8" w:tentative="0">
      <w:start w:val="1"/>
      <w:numFmt w:val="bullet"/>
      <w:lvlText w:val=""/>
      <w:lvlJc w:val="left"/>
      <w:pPr>
        <w:ind w:left="4740" w:hanging="420"/>
      </w:pPr>
      <w:rPr>
        <w:rFonts w:hint="default" w:ascii="Wingdings" w:hAnsi="Wingdings"/>
      </w:rPr>
    </w:lvl>
  </w:abstractNum>
  <w:abstractNum w:abstractNumId="64">
    <w:nsid w:val="7CCD115A"/>
    <w:multiLevelType w:val="multilevel"/>
    <w:tmpl w:val="7CCD115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5">
    <w:nsid w:val="7D033B71"/>
    <w:multiLevelType w:val="multilevel"/>
    <w:tmpl w:val="7D033B7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6">
    <w:nsid w:val="7D085F4A"/>
    <w:multiLevelType w:val="multilevel"/>
    <w:tmpl w:val="7D085F4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7">
    <w:nsid w:val="7EAC6CDB"/>
    <w:multiLevelType w:val="multilevel"/>
    <w:tmpl w:val="7EAC6CD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2"/>
  </w:num>
  <w:num w:numId="2">
    <w:abstractNumId w:val="28"/>
  </w:num>
  <w:num w:numId="3">
    <w:abstractNumId w:val="2"/>
  </w:num>
  <w:num w:numId="4">
    <w:abstractNumId w:val="3"/>
  </w:num>
  <w:num w:numId="5">
    <w:abstractNumId w:val="52"/>
  </w:num>
  <w:num w:numId="6">
    <w:abstractNumId w:val="8"/>
  </w:num>
  <w:num w:numId="7">
    <w:abstractNumId w:val="32"/>
  </w:num>
  <w:num w:numId="8">
    <w:abstractNumId w:val="25"/>
  </w:num>
  <w:num w:numId="9">
    <w:abstractNumId w:val="30"/>
  </w:num>
  <w:num w:numId="10">
    <w:abstractNumId w:val="37"/>
  </w:num>
  <w:num w:numId="11">
    <w:abstractNumId w:val="53"/>
  </w:num>
  <w:num w:numId="12">
    <w:abstractNumId w:val="33"/>
  </w:num>
  <w:num w:numId="13">
    <w:abstractNumId w:val="62"/>
  </w:num>
  <w:num w:numId="14">
    <w:abstractNumId w:val="10"/>
  </w:num>
  <w:num w:numId="15">
    <w:abstractNumId w:val="60"/>
  </w:num>
  <w:num w:numId="16">
    <w:abstractNumId w:val="23"/>
  </w:num>
  <w:num w:numId="17">
    <w:abstractNumId w:val="7"/>
  </w:num>
  <w:num w:numId="18">
    <w:abstractNumId w:val="44"/>
  </w:num>
  <w:num w:numId="19">
    <w:abstractNumId w:val="39"/>
  </w:num>
  <w:num w:numId="20">
    <w:abstractNumId w:val="40"/>
  </w:num>
  <w:num w:numId="21">
    <w:abstractNumId w:val="0"/>
  </w:num>
  <w:num w:numId="22">
    <w:abstractNumId w:val="24"/>
  </w:num>
  <w:num w:numId="23">
    <w:abstractNumId w:val="59"/>
  </w:num>
  <w:num w:numId="24">
    <w:abstractNumId w:val="49"/>
  </w:num>
  <w:num w:numId="25">
    <w:abstractNumId w:val="4"/>
  </w:num>
  <w:num w:numId="26">
    <w:abstractNumId w:val="14"/>
  </w:num>
  <w:num w:numId="27">
    <w:abstractNumId w:val="58"/>
  </w:num>
  <w:num w:numId="28">
    <w:abstractNumId w:val="43"/>
  </w:num>
  <w:num w:numId="29">
    <w:abstractNumId w:val="51"/>
  </w:num>
  <w:num w:numId="30">
    <w:abstractNumId w:val="48"/>
  </w:num>
  <w:num w:numId="31">
    <w:abstractNumId w:val="15"/>
  </w:num>
  <w:num w:numId="32">
    <w:abstractNumId w:val="13"/>
  </w:num>
  <w:num w:numId="33">
    <w:abstractNumId w:val="66"/>
  </w:num>
  <w:num w:numId="34">
    <w:abstractNumId w:val="26"/>
  </w:num>
  <w:num w:numId="35">
    <w:abstractNumId w:val="17"/>
  </w:num>
  <w:num w:numId="36">
    <w:abstractNumId w:val="34"/>
  </w:num>
  <w:num w:numId="37">
    <w:abstractNumId w:val="50"/>
  </w:num>
  <w:num w:numId="38">
    <w:abstractNumId w:val="54"/>
  </w:num>
  <w:num w:numId="39">
    <w:abstractNumId w:val="16"/>
  </w:num>
  <w:num w:numId="40">
    <w:abstractNumId w:val="5"/>
  </w:num>
  <w:num w:numId="41">
    <w:abstractNumId w:val="27"/>
  </w:num>
  <w:num w:numId="42">
    <w:abstractNumId w:val="38"/>
  </w:num>
  <w:num w:numId="43">
    <w:abstractNumId w:val="42"/>
  </w:num>
  <w:num w:numId="44">
    <w:abstractNumId w:val="9"/>
  </w:num>
  <w:num w:numId="45">
    <w:abstractNumId w:val="41"/>
  </w:num>
  <w:num w:numId="46">
    <w:abstractNumId w:val="36"/>
  </w:num>
  <w:num w:numId="47">
    <w:abstractNumId w:val="64"/>
  </w:num>
  <w:num w:numId="48">
    <w:abstractNumId w:val="6"/>
  </w:num>
  <w:num w:numId="49">
    <w:abstractNumId w:val="55"/>
  </w:num>
  <w:num w:numId="50">
    <w:abstractNumId w:val="47"/>
  </w:num>
  <w:num w:numId="51">
    <w:abstractNumId w:val="61"/>
  </w:num>
  <w:num w:numId="52">
    <w:abstractNumId w:val="18"/>
  </w:num>
  <w:num w:numId="53">
    <w:abstractNumId w:val="45"/>
  </w:num>
  <w:num w:numId="54">
    <w:abstractNumId w:val="65"/>
  </w:num>
  <w:num w:numId="55">
    <w:abstractNumId w:val="67"/>
  </w:num>
  <w:num w:numId="56">
    <w:abstractNumId w:val="21"/>
  </w:num>
  <w:num w:numId="57">
    <w:abstractNumId w:val="20"/>
  </w:num>
  <w:num w:numId="58">
    <w:abstractNumId w:val="1"/>
  </w:num>
  <w:num w:numId="59">
    <w:abstractNumId w:val="31"/>
  </w:num>
  <w:num w:numId="60">
    <w:abstractNumId w:val="19"/>
  </w:num>
  <w:num w:numId="61">
    <w:abstractNumId w:val="57"/>
  </w:num>
  <w:num w:numId="62">
    <w:abstractNumId w:val="11"/>
  </w:num>
  <w:num w:numId="63">
    <w:abstractNumId w:val="22"/>
  </w:num>
  <w:num w:numId="64">
    <w:abstractNumId w:val="63"/>
  </w:num>
  <w:num w:numId="65">
    <w:abstractNumId w:val="46"/>
  </w:num>
  <w:num w:numId="66">
    <w:abstractNumId w:val="29"/>
  </w:num>
  <w:num w:numId="67">
    <w:abstractNumId w:val="35"/>
  </w:num>
  <w:num w:numId="68">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5NzVjY2EwNWM3NjA5ZjY1MjY0OWUxMzRiNmU1OTMifQ=="/>
  </w:docVars>
  <w:rsids>
    <w:rsidRoot w:val="002E1C0E"/>
    <w:rsid w:val="000A74D9"/>
    <w:rsid w:val="002E1C0E"/>
    <w:rsid w:val="00433ABE"/>
    <w:rsid w:val="005C21A1"/>
    <w:rsid w:val="00685753"/>
    <w:rsid w:val="007100B3"/>
    <w:rsid w:val="0072183E"/>
    <w:rsid w:val="00735EF9"/>
    <w:rsid w:val="007C6874"/>
    <w:rsid w:val="00857DEA"/>
    <w:rsid w:val="00AD730F"/>
    <w:rsid w:val="00BA16EB"/>
    <w:rsid w:val="00CD2650"/>
    <w:rsid w:val="00CF1609"/>
    <w:rsid w:val="00D6723D"/>
    <w:rsid w:val="00D87F05"/>
    <w:rsid w:val="00E20EAD"/>
    <w:rsid w:val="00EA6B77"/>
    <w:rsid w:val="00FD51BD"/>
    <w:rsid w:val="0CA81C10"/>
    <w:rsid w:val="150663CE"/>
    <w:rsid w:val="208A2B2E"/>
    <w:rsid w:val="29332E81"/>
    <w:rsid w:val="29715D16"/>
    <w:rsid w:val="355A7AC2"/>
    <w:rsid w:val="542F5CB2"/>
    <w:rsid w:val="60CF0B63"/>
    <w:rsid w:val="651A7752"/>
    <w:rsid w:val="7F4E5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4"/>
    <w:basedOn w:val="1"/>
    <w:qFormat/>
    <w:uiPriority w:val="0"/>
    <w:pPr>
      <w:keepNext/>
      <w:keepLines/>
      <w:spacing w:line="360" w:lineRule="auto"/>
      <w:ind w:left="200" w:leftChars="200"/>
      <w:outlineLvl w:val="3"/>
    </w:pPr>
    <w:rPr>
      <w:rFonts w:ascii="Times New Roman" w:hAnsi="Times New Roman" w:eastAsia="黑体" w:cs="宋体"/>
      <w:b/>
      <w:bCs/>
      <w:kern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23246</Words>
  <Characters>23360</Characters>
  <Lines>172</Lines>
  <Paragraphs>48</Paragraphs>
  <TotalTime>313</TotalTime>
  <ScaleCrop>false</ScaleCrop>
  <LinksUpToDate>false</LinksUpToDate>
  <CharactersWithSpaces>23655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2021-06-20T07:35:00Z</dcterms:created>
  <dc:creator>丁凯丽</dc:creator>
  <cp:lastModifiedBy>黎彩虹</cp:lastModifiedBy>
  <dcterms:modified xsi:type="dcterms:W3CDTF">2023-10-16T08:06:51Z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EA2BA259297D4706B7107C8107D27CBF</vt:lpwstr>
  </property>
</Properties>
</file>